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DDB62" w14:textId="77777777" w:rsidR="000046A4" w:rsidRDefault="005642A5" w:rsidP="00B66DA1">
      <w:pPr>
        <w:pStyle w:val="Inhoudsopgave"/>
        <w:ind w:right="-144"/>
        <w:rPr>
          <w:lang w:val="fr-BE"/>
        </w:rPr>
      </w:pPr>
      <w:r w:rsidRPr="00076EB7">
        <w:rPr>
          <w:lang w:val="fr-BE"/>
        </w:rPr>
        <w:t>Table de Matières</w:t>
      </w:r>
    </w:p>
    <w:p w14:paraId="405625A1" w14:textId="77777777" w:rsidR="000F6A58" w:rsidRPr="00076EB7" w:rsidRDefault="000F6A58" w:rsidP="000F6A58">
      <w:pPr>
        <w:pStyle w:val="BOFAS-standaardtekst"/>
        <w:rPr>
          <w:lang w:val="fr-BE"/>
        </w:rPr>
      </w:pPr>
    </w:p>
    <w:sdt>
      <w:sdtPr>
        <w:rPr>
          <w:b w:val="0"/>
          <w:caps w:val="0"/>
          <w:noProof w:val="0"/>
          <w:color w:val="auto"/>
          <w:sz w:val="22"/>
          <w:lang w:val="fr-BE"/>
        </w:rPr>
        <w:id w:val="-1243794049"/>
        <w:docPartObj>
          <w:docPartGallery w:val="Table of Contents"/>
          <w:docPartUnique/>
        </w:docPartObj>
      </w:sdtPr>
      <w:sdtEndPr>
        <w:rPr>
          <w:b/>
          <w:caps/>
        </w:rPr>
      </w:sdtEndPr>
      <w:sdtContent>
        <w:p w14:paraId="27AF8924" w14:textId="77864D21" w:rsidR="00134D88" w:rsidRDefault="00B66DA1">
          <w:pPr>
            <w:pStyle w:val="Inhopg1"/>
            <w:rPr>
              <w:rFonts w:asciiTheme="minorHAnsi" w:eastAsiaTheme="minorEastAsia" w:hAnsiTheme="minorHAnsi"/>
              <w:b w:val="0"/>
              <w:caps w:val="0"/>
              <w:color w:val="auto"/>
              <w:sz w:val="22"/>
              <w:lang w:val="en-BE" w:eastAsia="en-BE"/>
            </w:rPr>
          </w:pPr>
          <w:r w:rsidRPr="00076EB7">
            <w:rPr>
              <w:b w:val="0"/>
              <w:caps w:val="0"/>
              <w:noProof w:val="0"/>
              <w:lang w:val="fr-BE"/>
            </w:rPr>
            <w:fldChar w:fldCharType="begin"/>
          </w:r>
          <w:r w:rsidRPr="00076EB7">
            <w:rPr>
              <w:noProof w:val="0"/>
              <w:lang w:val="fr-BE"/>
            </w:rPr>
            <w:instrText xml:space="preserve"> TOC \o "2-3" \h \z \t "Kop 1,1,BIJLAGEN,1" </w:instrText>
          </w:r>
          <w:r w:rsidRPr="00076EB7">
            <w:rPr>
              <w:b w:val="0"/>
              <w:caps w:val="0"/>
              <w:noProof w:val="0"/>
              <w:lang w:val="fr-BE"/>
            </w:rPr>
            <w:fldChar w:fldCharType="separate"/>
          </w:r>
          <w:hyperlink w:anchor="_Toc27564372" w:history="1">
            <w:r w:rsidR="00134D88" w:rsidRPr="00C33608">
              <w:rPr>
                <w:rStyle w:val="Hyperlink"/>
                <w:lang w:val="fr-BE"/>
              </w:rPr>
              <w:t>1</w:t>
            </w:r>
            <w:r w:rsidR="00134D88">
              <w:rPr>
                <w:rFonts w:asciiTheme="minorHAnsi" w:eastAsiaTheme="minorEastAsia" w:hAnsiTheme="minorHAnsi"/>
                <w:b w:val="0"/>
                <w:caps w:val="0"/>
                <w:color w:val="auto"/>
                <w:sz w:val="22"/>
                <w:lang w:val="en-BE" w:eastAsia="en-BE"/>
              </w:rPr>
              <w:tab/>
            </w:r>
            <w:r w:rsidR="00134D88" w:rsidRPr="00C33608">
              <w:rPr>
                <w:rStyle w:val="Hyperlink"/>
                <w:lang w:val="fr-BE"/>
              </w:rPr>
              <w:t>Objectif</w:t>
            </w:r>
            <w:r w:rsidR="00134D88">
              <w:rPr>
                <w:webHidden/>
              </w:rPr>
              <w:tab/>
            </w:r>
            <w:r w:rsidR="00134D88">
              <w:rPr>
                <w:webHidden/>
              </w:rPr>
              <w:fldChar w:fldCharType="begin"/>
            </w:r>
            <w:r w:rsidR="00134D88">
              <w:rPr>
                <w:webHidden/>
              </w:rPr>
              <w:instrText xml:space="preserve"> PAGEREF _Toc27564372 \h </w:instrText>
            </w:r>
            <w:r w:rsidR="00134D88">
              <w:rPr>
                <w:webHidden/>
              </w:rPr>
            </w:r>
            <w:r w:rsidR="00134D88">
              <w:rPr>
                <w:webHidden/>
              </w:rPr>
              <w:fldChar w:fldCharType="separate"/>
            </w:r>
            <w:r w:rsidR="00134D88">
              <w:rPr>
                <w:webHidden/>
              </w:rPr>
              <w:t>2</w:t>
            </w:r>
            <w:r w:rsidR="00134D88">
              <w:rPr>
                <w:webHidden/>
              </w:rPr>
              <w:fldChar w:fldCharType="end"/>
            </w:r>
          </w:hyperlink>
        </w:p>
        <w:p w14:paraId="142CFAB4" w14:textId="0D91B617" w:rsidR="00134D88" w:rsidRDefault="00ED759C">
          <w:pPr>
            <w:pStyle w:val="Inhopg1"/>
            <w:rPr>
              <w:rFonts w:asciiTheme="minorHAnsi" w:eastAsiaTheme="minorEastAsia" w:hAnsiTheme="minorHAnsi"/>
              <w:b w:val="0"/>
              <w:caps w:val="0"/>
              <w:color w:val="auto"/>
              <w:sz w:val="22"/>
              <w:lang w:val="en-BE" w:eastAsia="en-BE"/>
            </w:rPr>
          </w:pPr>
          <w:hyperlink w:anchor="_Toc27564373" w:history="1">
            <w:r w:rsidR="00134D88" w:rsidRPr="00C33608">
              <w:rPr>
                <w:rStyle w:val="Hyperlink"/>
                <w:lang w:val="fr-BE"/>
              </w:rPr>
              <w:t>2</w:t>
            </w:r>
            <w:r w:rsidR="00134D88">
              <w:rPr>
                <w:rFonts w:asciiTheme="minorHAnsi" w:eastAsiaTheme="minorEastAsia" w:hAnsiTheme="minorHAnsi"/>
                <w:b w:val="0"/>
                <w:caps w:val="0"/>
                <w:color w:val="auto"/>
                <w:sz w:val="22"/>
                <w:lang w:val="en-BE" w:eastAsia="en-BE"/>
              </w:rPr>
              <w:tab/>
            </w:r>
            <w:r w:rsidR="00134D88" w:rsidRPr="00C33608">
              <w:rPr>
                <w:rStyle w:val="Hyperlink"/>
                <w:lang w:val="fr-BE"/>
              </w:rPr>
              <w:t>Champ d’application</w:t>
            </w:r>
            <w:r w:rsidR="00134D88">
              <w:rPr>
                <w:webHidden/>
              </w:rPr>
              <w:tab/>
            </w:r>
            <w:r w:rsidR="00134D88">
              <w:rPr>
                <w:webHidden/>
              </w:rPr>
              <w:fldChar w:fldCharType="begin"/>
            </w:r>
            <w:r w:rsidR="00134D88">
              <w:rPr>
                <w:webHidden/>
              </w:rPr>
              <w:instrText xml:space="preserve"> PAGEREF _Toc27564373 \h </w:instrText>
            </w:r>
            <w:r w:rsidR="00134D88">
              <w:rPr>
                <w:webHidden/>
              </w:rPr>
            </w:r>
            <w:r w:rsidR="00134D88">
              <w:rPr>
                <w:webHidden/>
              </w:rPr>
              <w:fldChar w:fldCharType="separate"/>
            </w:r>
            <w:r w:rsidR="00134D88">
              <w:rPr>
                <w:webHidden/>
              </w:rPr>
              <w:t>2</w:t>
            </w:r>
            <w:r w:rsidR="00134D88">
              <w:rPr>
                <w:webHidden/>
              </w:rPr>
              <w:fldChar w:fldCharType="end"/>
            </w:r>
          </w:hyperlink>
        </w:p>
        <w:p w14:paraId="1C9A8FF4" w14:textId="22CD6792" w:rsidR="00134D88" w:rsidRDefault="00ED759C">
          <w:pPr>
            <w:pStyle w:val="Inhopg1"/>
            <w:rPr>
              <w:rFonts w:asciiTheme="minorHAnsi" w:eastAsiaTheme="minorEastAsia" w:hAnsiTheme="minorHAnsi"/>
              <w:b w:val="0"/>
              <w:caps w:val="0"/>
              <w:color w:val="auto"/>
              <w:sz w:val="22"/>
              <w:lang w:val="en-BE" w:eastAsia="en-BE"/>
            </w:rPr>
          </w:pPr>
          <w:hyperlink w:anchor="_Toc27564374" w:history="1">
            <w:r w:rsidR="00134D88" w:rsidRPr="00C33608">
              <w:rPr>
                <w:rStyle w:val="Hyperlink"/>
                <w:lang w:val="fr-BE"/>
              </w:rPr>
              <w:t>3</w:t>
            </w:r>
            <w:r w:rsidR="00134D88">
              <w:rPr>
                <w:rFonts w:asciiTheme="minorHAnsi" w:eastAsiaTheme="minorEastAsia" w:hAnsiTheme="minorHAnsi"/>
                <w:b w:val="0"/>
                <w:caps w:val="0"/>
                <w:color w:val="auto"/>
                <w:sz w:val="22"/>
                <w:lang w:val="en-BE" w:eastAsia="en-BE"/>
              </w:rPr>
              <w:tab/>
            </w:r>
            <w:r w:rsidR="00134D88" w:rsidRPr="00C33608">
              <w:rPr>
                <w:rStyle w:val="Hyperlink"/>
                <w:lang w:val="fr-BE"/>
              </w:rPr>
              <w:t>Définitions</w:t>
            </w:r>
            <w:r w:rsidR="00134D88">
              <w:rPr>
                <w:webHidden/>
              </w:rPr>
              <w:tab/>
            </w:r>
            <w:r w:rsidR="00134D88">
              <w:rPr>
                <w:webHidden/>
              </w:rPr>
              <w:fldChar w:fldCharType="begin"/>
            </w:r>
            <w:r w:rsidR="00134D88">
              <w:rPr>
                <w:webHidden/>
              </w:rPr>
              <w:instrText xml:space="preserve"> PAGEREF _Toc27564374 \h </w:instrText>
            </w:r>
            <w:r w:rsidR="00134D88">
              <w:rPr>
                <w:webHidden/>
              </w:rPr>
            </w:r>
            <w:r w:rsidR="00134D88">
              <w:rPr>
                <w:webHidden/>
              </w:rPr>
              <w:fldChar w:fldCharType="separate"/>
            </w:r>
            <w:r w:rsidR="00134D88">
              <w:rPr>
                <w:webHidden/>
              </w:rPr>
              <w:t>2</w:t>
            </w:r>
            <w:r w:rsidR="00134D88">
              <w:rPr>
                <w:webHidden/>
              </w:rPr>
              <w:fldChar w:fldCharType="end"/>
            </w:r>
          </w:hyperlink>
        </w:p>
        <w:p w14:paraId="70913ED5" w14:textId="7BF3E651" w:rsidR="00134D88" w:rsidRDefault="00ED759C">
          <w:pPr>
            <w:pStyle w:val="Inhopg1"/>
            <w:rPr>
              <w:rFonts w:asciiTheme="minorHAnsi" w:eastAsiaTheme="minorEastAsia" w:hAnsiTheme="minorHAnsi"/>
              <w:b w:val="0"/>
              <w:caps w:val="0"/>
              <w:color w:val="auto"/>
              <w:sz w:val="22"/>
              <w:lang w:val="en-BE" w:eastAsia="en-BE"/>
            </w:rPr>
          </w:pPr>
          <w:hyperlink w:anchor="_Toc27564375" w:history="1">
            <w:r w:rsidR="00134D88" w:rsidRPr="00C33608">
              <w:rPr>
                <w:rStyle w:val="Hyperlink"/>
                <w:lang w:val="fr-BE"/>
              </w:rPr>
              <w:t>4</w:t>
            </w:r>
            <w:r w:rsidR="00134D88">
              <w:rPr>
                <w:rFonts w:asciiTheme="minorHAnsi" w:eastAsiaTheme="minorEastAsia" w:hAnsiTheme="minorHAnsi"/>
                <w:b w:val="0"/>
                <w:caps w:val="0"/>
                <w:color w:val="auto"/>
                <w:sz w:val="22"/>
                <w:lang w:val="en-BE" w:eastAsia="en-BE"/>
              </w:rPr>
              <w:tab/>
            </w:r>
            <w:r w:rsidR="00134D88" w:rsidRPr="00C33608">
              <w:rPr>
                <w:rStyle w:val="Hyperlink"/>
                <w:lang w:val="fr-BE"/>
              </w:rPr>
              <w:t>Procédure</w:t>
            </w:r>
            <w:r w:rsidR="00134D88">
              <w:rPr>
                <w:webHidden/>
              </w:rPr>
              <w:tab/>
            </w:r>
            <w:r w:rsidR="00134D88">
              <w:rPr>
                <w:webHidden/>
              </w:rPr>
              <w:fldChar w:fldCharType="begin"/>
            </w:r>
            <w:r w:rsidR="00134D88">
              <w:rPr>
                <w:webHidden/>
              </w:rPr>
              <w:instrText xml:space="preserve"> PAGEREF _Toc27564375 \h </w:instrText>
            </w:r>
            <w:r w:rsidR="00134D88">
              <w:rPr>
                <w:webHidden/>
              </w:rPr>
            </w:r>
            <w:r w:rsidR="00134D88">
              <w:rPr>
                <w:webHidden/>
              </w:rPr>
              <w:fldChar w:fldCharType="separate"/>
            </w:r>
            <w:r w:rsidR="00134D88">
              <w:rPr>
                <w:webHidden/>
              </w:rPr>
              <w:t>3</w:t>
            </w:r>
            <w:r w:rsidR="00134D88">
              <w:rPr>
                <w:webHidden/>
              </w:rPr>
              <w:fldChar w:fldCharType="end"/>
            </w:r>
          </w:hyperlink>
        </w:p>
        <w:p w14:paraId="0F245E41" w14:textId="509DD04A" w:rsidR="00134D88" w:rsidRDefault="00ED759C">
          <w:pPr>
            <w:pStyle w:val="Inhopg2"/>
            <w:rPr>
              <w:rFonts w:asciiTheme="minorHAnsi" w:eastAsiaTheme="minorEastAsia" w:hAnsiTheme="minorHAnsi"/>
              <w:sz w:val="22"/>
              <w:lang w:val="en-BE" w:eastAsia="en-BE"/>
            </w:rPr>
          </w:pPr>
          <w:hyperlink w:anchor="_Toc27564376" w:history="1">
            <w:r w:rsidR="00134D88" w:rsidRPr="00C33608">
              <w:rPr>
                <w:rStyle w:val="Hyperlink"/>
                <w:lang w:val="fr-BE"/>
              </w:rPr>
              <w:t>4.1</w:t>
            </w:r>
            <w:r w:rsidR="00134D88">
              <w:rPr>
                <w:rFonts w:asciiTheme="minorHAnsi" w:eastAsiaTheme="minorEastAsia" w:hAnsiTheme="minorHAnsi"/>
                <w:sz w:val="22"/>
                <w:lang w:val="en-BE" w:eastAsia="en-BE"/>
              </w:rPr>
              <w:tab/>
            </w:r>
            <w:r w:rsidR="00134D88" w:rsidRPr="00C33608">
              <w:rPr>
                <w:rStyle w:val="Hyperlink"/>
                <w:lang w:val="fr-BE"/>
              </w:rPr>
              <w:t>Introduction</w:t>
            </w:r>
            <w:r w:rsidR="00134D88">
              <w:rPr>
                <w:webHidden/>
              </w:rPr>
              <w:tab/>
            </w:r>
            <w:r w:rsidR="00134D88">
              <w:rPr>
                <w:webHidden/>
              </w:rPr>
              <w:fldChar w:fldCharType="begin"/>
            </w:r>
            <w:r w:rsidR="00134D88">
              <w:rPr>
                <w:webHidden/>
              </w:rPr>
              <w:instrText xml:space="preserve"> PAGEREF _Toc27564376 \h </w:instrText>
            </w:r>
            <w:r w:rsidR="00134D88">
              <w:rPr>
                <w:webHidden/>
              </w:rPr>
            </w:r>
            <w:r w:rsidR="00134D88">
              <w:rPr>
                <w:webHidden/>
              </w:rPr>
              <w:fldChar w:fldCharType="separate"/>
            </w:r>
            <w:r w:rsidR="00134D88">
              <w:rPr>
                <w:webHidden/>
              </w:rPr>
              <w:t>3</w:t>
            </w:r>
            <w:r w:rsidR="00134D88">
              <w:rPr>
                <w:webHidden/>
              </w:rPr>
              <w:fldChar w:fldCharType="end"/>
            </w:r>
          </w:hyperlink>
        </w:p>
        <w:p w14:paraId="0140943F" w14:textId="55EFE9B2" w:rsidR="00134D88" w:rsidRDefault="00ED759C">
          <w:pPr>
            <w:pStyle w:val="Inhopg3"/>
            <w:tabs>
              <w:tab w:val="left" w:pos="1247"/>
            </w:tabs>
            <w:rPr>
              <w:rFonts w:asciiTheme="minorHAnsi" w:eastAsiaTheme="minorEastAsia" w:hAnsiTheme="minorHAnsi"/>
              <w:lang w:val="en-BE" w:eastAsia="en-BE"/>
            </w:rPr>
          </w:pPr>
          <w:hyperlink w:anchor="_Toc27564377" w:history="1">
            <w:r w:rsidR="00134D88" w:rsidRPr="00C33608">
              <w:rPr>
                <w:rStyle w:val="Hyperlink"/>
                <w:lang w:val="fr-BE"/>
              </w:rPr>
              <w:t>4.1.1</w:t>
            </w:r>
            <w:r w:rsidR="00134D88">
              <w:rPr>
                <w:rFonts w:asciiTheme="minorHAnsi" w:eastAsiaTheme="minorEastAsia" w:hAnsiTheme="minorHAnsi"/>
                <w:lang w:val="en-BE" w:eastAsia="en-BE"/>
              </w:rPr>
              <w:tab/>
            </w:r>
            <w:r w:rsidR="00134D88" w:rsidRPr="00C33608">
              <w:rPr>
                <w:rStyle w:val="Hyperlink"/>
                <w:lang w:val="fr-BE"/>
              </w:rPr>
              <w:t>Equipements de protection individuelle</w:t>
            </w:r>
            <w:r w:rsidR="00134D88">
              <w:rPr>
                <w:webHidden/>
              </w:rPr>
              <w:tab/>
            </w:r>
            <w:r w:rsidR="00134D88">
              <w:rPr>
                <w:webHidden/>
              </w:rPr>
              <w:fldChar w:fldCharType="begin"/>
            </w:r>
            <w:r w:rsidR="00134D88">
              <w:rPr>
                <w:webHidden/>
              </w:rPr>
              <w:instrText xml:space="preserve"> PAGEREF _Toc27564377 \h </w:instrText>
            </w:r>
            <w:r w:rsidR="00134D88">
              <w:rPr>
                <w:webHidden/>
              </w:rPr>
            </w:r>
            <w:r w:rsidR="00134D88">
              <w:rPr>
                <w:webHidden/>
              </w:rPr>
              <w:fldChar w:fldCharType="separate"/>
            </w:r>
            <w:r w:rsidR="00134D88">
              <w:rPr>
                <w:webHidden/>
              </w:rPr>
              <w:t>3</w:t>
            </w:r>
            <w:r w:rsidR="00134D88">
              <w:rPr>
                <w:webHidden/>
              </w:rPr>
              <w:fldChar w:fldCharType="end"/>
            </w:r>
          </w:hyperlink>
        </w:p>
        <w:p w14:paraId="2583E3F2" w14:textId="6E9DEB45" w:rsidR="00134D88" w:rsidRDefault="00ED759C">
          <w:pPr>
            <w:pStyle w:val="Inhopg2"/>
            <w:rPr>
              <w:rFonts w:asciiTheme="minorHAnsi" w:eastAsiaTheme="minorEastAsia" w:hAnsiTheme="minorHAnsi"/>
              <w:sz w:val="22"/>
              <w:lang w:val="en-BE" w:eastAsia="en-BE"/>
            </w:rPr>
          </w:pPr>
          <w:hyperlink w:anchor="_Toc27564378" w:history="1">
            <w:r w:rsidR="00134D88" w:rsidRPr="00C33608">
              <w:rPr>
                <w:rStyle w:val="Hyperlink"/>
                <w:lang w:val="fr-BE"/>
              </w:rPr>
              <w:t>4.2</w:t>
            </w:r>
            <w:r w:rsidR="00134D88">
              <w:rPr>
                <w:rFonts w:asciiTheme="minorHAnsi" w:eastAsiaTheme="minorEastAsia" w:hAnsiTheme="minorHAnsi"/>
                <w:sz w:val="22"/>
                <w:lang w:val="en-BE" w:eastAsia="en-BE"/>
              </w:rPr>
              <w:tab/>
            </w:r>
            <w:r w:rsidR="00134D88" w:rsidRPr="00C33608">
              <w:rPr>
                <w:rStyle w:val="Hyperlink"/>
                <w:lang w:val="fr-BE"/>
              </w:rPr>
              <w:t>Dispositions relatives à l’usage des appareils de mesures</w:t>
            </w:r>
            <w:r w:rsidR="00134D88">
              <w:rPr>
                <w:webHidden/>
              </w:rPr>
              <w:tab/>
            </w:r>
            <w:r w:rsidR="00134D88">
              <w:rPr>
                <w:webHidden/>
              </w:rPr>
              <w:fldChar w:fldCharType="begin"/>
            </w:r>
            <w:r w:rsidR="00134D88">
              <w:rPr>
                <w:webHidden/>
              </w:rPr>
              <w:instrText xml:space="preserve"> PAGEREF _Toc27564378 \h </w:instrText>
            </w:r>
            <w:r w:rsidR="00134D88">
              <w:rPr>
                <w:webHidden/>
              </w:rPr>
            </w:r>
            <w:r w:rsidR="00134D88">
              <w:rPr>
                <w:webHidden/>
              </w:rPr>
              <w:fldChar w:fldCharType="separate"/>
            </w:r>
            <w:r w:rsidR="00134D88">
              <w:rPr>
                <w:webHidden/>
              </w:rPr>
              <w:t>3</w:t>
            </w:r>
            <w:r w:rsidR="00134D88">
              <w:rPr>
                <w:webHidden/>
              </w:rPr>
              <w:fldChar w:fldCharType="end"/>
            </w:r>
          </w:hyperlink>
        </w:p>
        <w:p w14:paraId="4FCC7116" w14:textId="40B2B66A" w:rsidR="00134D88" w:rsidRDefault="00ED759C">
          <w:pPr>
            <w:pStyle w:val="Inhopg2"/>
            <w:rPr>
              <w:rFonts w:asciiTheme="minorHAnsi" w:eastAsiaTheme="minorEastAsia" w:hAnsiTheme="minorHAnsi"/>
              <w:sz w:val="22"/>
              <w:lang w:val="en-BE" w:eastAsia="en-BE"/>
            </w:rPr>
          </w:pPr>
          <w:hyperlink w:anchor="_Toc27564379" w:history="1">
            <w:r w:rsidR="00134D88" w:rsidRPr="00C33608">
              <w:rPr>
                <w:rStyle w:val="Hyperlink"/>
                <w:lang w:val="fr-BE"/>
              </w:rPr>
              <w:t>4.3</w:t>
            </w:r>
            <w:r w:rsidR="00134D88">
              <w:rPr>
                <w:rFonts w:asciiTheme="minorHAnsi" w:eastAsiaTheme="minorEastAsia" w:hAnsiTheme="minorHAnsi"/>
                <w:sz w:val="22"/>
                <w:lang w:val="en-BE" w:eastAsia="en-BE"/>
              </w:rPr>
              <w:tab/>
            </w:r>
            <w:r w:rsidR="00134D88" w:rsidRPr="00C33608">
              <w:rPr>
                <w:rStyle w:val="Hyperlink"/>
                <w:lang w:val="fr-BE"/>
              </w:rPr>
              <w:t>Gestion et responsabilités</w:t>
            </w:r>
            <w:r w:rsidR="00134D88">
              <w:rPr>
                <w:webHidden/>
              </w:rPr>
              <w:tab/>
            </w:r>
            <w:r w:rsidR="00134D88">
              <w:rPr>
                <w:webHidden/>
              </w:rPr>
              <w:fldChar w:fldCharType="begin"/>
            </w:r>
            <w:r w:rsidR="00134D88">
              <w:rPr>
                <w:webHidden/>
              </w:rPr>
              <w:instrText xml:space="preserve"> PAGEREF _Toc27564379 \h </w:instrText>
            </w:r>
            <w:r w:rsidR="00134D88">
              <w:rPr>
                <w:webHidden/>
              </w:rPr>
            </w:r>
            <w:r w:rsidR="00134D88">
              <w:rPr>
                <w:webHidden/>
              </w:rPr>
              <w:fldChar w:fldCharType="separate"/>
            </w:r>
            <w:r w:rsidR="00134D88">
              <w:rPr>
                <w:webHidden/>
              </w:rPr>
              <w:t>4</w:t>
            </w:r>
            <w:r w:rsidR="00134D88">
              <w:rPr>
                <w:webHidden/>
              </w:rPr>
              <w:fldChar w:fldCharType="end"/>
            </w:r>
          </w:hyperlink>
        </w:p>
        <w:p w14:paraId="711B4AD8" w14:textId="7960D109" w:rsidR="00134D88" w:rsidRDefault="00ED759C">
          <w:pPr>
            <w:pStyle w:val="Inhopg2"/>
            <w:rPr>
              <w:rFonts w:asciiTheme="minorHAnsi" w:eastAsiaTheme="minorEastAsia" w:hAnsiTheme="minorHAnsi"/>
              <w:sz w:val="22"/>
              <w:lang w:val="en-BE" w:eastAsia="en-BE"/>
            </w:rPr>
          </w:pPr>
          <w:hyperlink w:anchor="_Toc27564380" w:history="1">
            <w:r w:rsidR="00134D88" w:rsidRPr="00C33608">
              <w:rPr>
                <w:rStyle w:val="Hyperlink"/>
                <w:lang w:val="fr-BE"/>
              </w:rPr>
              <w:t>4.4</w:t>
            </w:r>
            <w:r w:rsidR="00134D88">
              <w:rPr>
                <w:rFonts w:asciiTheme="minorHAnsi" w:eastAsiaTheme="minorEastAsia" w:hAnsiTheme="minorHAnsi"/>
                <w:sz w:val="22"/>
                <w:lang w:val="en-BE" w:eastAsia="en-BE"/>
              </w:rPr>
              <w:tab/>
            </w:r>
            <w:r w:rsidR="00134D88" w:rsidRPr="00C33608">
              <w:rPr>
                <w:rStyle w:val="Hyperlink"/>
                <w:lang w:val="fr-BE"/>
              </w:rPr>
              <w:t>L’usage d’une pompe de prélèvement et de tubes de prélèvement.</w:t>
            </w:r>
            <w:r w:rsidR="00134D88">
              <w:rPr>
                <w:webHidden/>
              </w:rPr>
              <w:tab/>
            </w:r>
            <w:r w:rsidR="00134D88">
              <w:rPr>
                <w:webHidden/>
              </w:rPr>
              <w:fldChar w:fldCharType="begin"/>
            </w:r>
            <w:r w:rsidR="00134D88">
              <w:rPr>
                <w:webHidden/>
              </w:rPr>
              <w:instrText xml:space="preserve"> PAGEREF _Toc27564380 \h </w:instrText>
            </w:r>
            <w:r w:rsidR="00134D88">
              <w:rPr>
                <w:webHidden/>
              </w:rPr>
            </w:r>
            <w:r w:rsidR="00134D88">
              <w:rPr>
                <w:webHidden/>
              </w:rPr>
              <w:fldChar w:fldCharType="separate"/>
            </w:r>
            <w:r w:rsidR="00134D88">
              <w:rPr>
                <w:webHidden/>
              </w:rPr>
              <w:t>4</w:t>
            </w:r>
            <w:r w:rsidR="00134D88">
              <w:rPr>
                <w:webHidden/>
              </w:rPr>
              <w:fldChar w:fldCharType="end"/>
            </w:r>
          </w:hyperlink>
        </w:p>
        <w:p w14:paraId="3F132D91" w14:textId="30CDC56D" w:rsidR="00134D88" w:rsidRDefault="00ED759C">
          <w:pPr>
            <w:pStyle w:val="Inhopg2"/>
            <w:rPr>
              <w:rFonts w:asciiTheme="minorHAnsi" w:eastAsiaTheme="minorEastAsia" w:hAnsiTheme="minorHAnsi"/>
              <w:sz w:val="22"/>
              <w:lang w:val="en-BE" w:eastAsia="en-BE"/>
            </w:rPr>
          </w:pPr>
          <w:hyperlink w:anchor="_Toc27564381" w:history="1">
            <w:r w:rsidR="00134D88" w:rsidRPr="00C33608">
              <w:rPr>
                <w:rStyle w:val="Hyperlink"/>
                <w:lang w:val="fr-BE"/>
              </w:rPr>
              <w:t>4.5</w:t>
            </w:r>
            <w:r w:rsidR="00134D88">
              <w:rPr>
                <w:rFonts w:asciiTheme="minorHAnsi" w:eastAsiaTheme="minorEastAsia" w:hAnsiTheme="minorHAnsi"/>
                <w:sz w:val="22"/>
                <w:lang w:val="en-BE" w:eastAsia="en-BE"/>
              </w:rPr>
              <w:tab/>
            </w:r>
            <w:r w:rsidR="00134D88" w:rsidRPr="00C33608">
              <w:rPr>
                <w:rStyle w:val="Hyperlink"/>
                <w:lang w:val="fr-BE"/>
              </w:rPr>
              <w:t>L’utilisation d’un détecteur à photoionisation PID</w:t>
            </w:r>
            <w:r w:rsidR="00134D88">
              <w:rPr>
                <w:webHidden/>
              </w:rPr>
              <w:tab/>
            </w:r>
            <w:r w:rsidR="00134D88">
              <w:rPr>
                <w:webHidden/>
              </w:rPr>
              <w:fldChar w:fldCharType="begin"/>
            </w:r>
            <w:r w:rsidR="00134D88">
              <w:rPr>
                <w:webHidden/>
              </w:rPr>
              <w:instrText xml:space="preserve"> PAGEREF _Toc27564381 \h </w:instrText>
            </w:r>
            <w:r w:rsidR="00134D88">
              <w:rPr>
                <w:webHidden/>
              </w:rPr>
            </w:r>
            <w:r w:rsidR="00134D88">
              <w:rPr>
                <w:webHidden/>
              </w:rPr>
              <w:fldChar w:fldCharType="separate"/>
            </w:r>
            <w:r w:rsidR="00134D88">
              <w:rPr>
                <w:webHidden/>
              </w:rPr>
              <w:t>5</w:t>
            </w:r>
            <w:r w:rsidR="00134D88">
              <w:rPr>
                <w:webHidden/>
              </w:rPr>
              <w:fldChar w:fldCharType="end"/>
            </w:r>
          </w:hyperlink>
        </w:p>
        <w:p w14:paraId="5DC7D922" w14:textId="5EE93C5B" w:rsidR="00134D88" w:rsidRDefault="00ED759C">
          <w:pPr>
            <w:pStyle w:val="Inhopg2"/>
            <w:rPr>
              <w:rFonts w:asciiTheme="minorHAnsi" w:eastAsiaTheme="minorEastAsia" w:hAnsiTheme="minorHAnsi"/>
              <w:sz w:val="22"/>
              <w:lang w:val="en-BE" w:eastAsia="en-BE"/>
            </w:rPr>
          </w:pPr>
          <w:hyperlink w:anchor="_Toc27564382" w:history="1">
            <w:r w:rsidR="00134D88" w:rsidRPr="00C33608">
              <w:rPr>
                <w:rStyle w:val="Hyperlink"/>
                <w:lang w:val="fr-BE"/>
              </w:rPr>
              <w:t>4.6</w:t>
            </w:r>
            <w:r w:rsidR="00134D88">
              <w:rPr>
                <w:rFonts w:asciiTheme="minorHAnsi" w:eastAsiaTheme="minorEastAsia" w:hAnsiTheme="minorHAnsi"/>
                <w:sz w:val="22"/>
                <w:lang w:val="en-BE" w:eastAsia="en-BE"/>
              </w:rPr>
              <w:tab/>
            </w:r>
            <w:r w:rsidR="00134D88" w:rsidRPr="00C33608">
              <w:rPr>
                <w:rStyle w:val="Hyperlink"/>
                <w:lang w:val="fr-BE"/>
              </w:rPr>
              <w:t>L’utilisation d’appareils de détection mobile en continu pour l’oxygène, les gaz toxiques, inflammables ou explosifs</w:t>
            </w:r>
            <w:r w:rsidR="00134D88">
              <w:rPr>
                <w:webHidden/>
              </w:rPr>
              <w:tab/>
            </w:r>
            <w:r w:rsidR="00134D88">
              <w:rPr>
                <w:webHidden/>
              </w:rPr>
              <w:fldChar w:fldCharType="begin"/>
            </w:r>
            <w:r w:rsidR="00134D88">
              <w:rPr>
                <w:webHidden/>
              </w:rPr>
              <w:instrText xml:space="preserve"> PAGEREF _Toc27564382 \h </w:instrText>
            </w:r>
            <w:r w:rsidR="00134D88">
              <w:rPr>
                <w:webHidden/>
              </w:rPr>
            </w:r>
            <w:r w:rsidR="00134D88">
              <w:rPr>
                <w:webHidden/>
              </w:rPr>
              <w:fldChar w:fldCharType="separate"/>
            </w:r>
            <w:r w:rsidR="00134D88">
              <w:rPr>
                <w:webHidden/>
              </w:rPr>
              <w:t>5</w:t>
            </w:r>
            <w:r w:rsidR="00134D88">
              <w:rPr>
                <w:webHidden/>
              </w:rPr>
              <w:fldChar w:fldCharType="end"/>
            </w:r>
          </w:hyperlink>
        </w:p>
        <w:p w14:paraId="56E1D5CD" w14:textId="72608917" w:rsidR="00134D88" w:rsidRDefault="00ED759C">
          <w:pPr>
            <w:pStyle w:val="Inhopg2"/>
            <w:rPr>
              <w:rFonts w:asciiTheme="minorHAnsi" w:eastAsiaTheme="minorEastAsia" w:hAnsiTheme="minorHAnsi"/>
              <w:sz w:val="22"/>
              <w:lang w:val="en-BE" w:eastAsia="en-BE"/>
            </w:rPr>
          </w:pPr>
          <w:hyperlink w:anchor="_Toc27564383" w:history="1">
            <w:r w:rsidR="00134D88" w:rsidRPr="00C33608">
              <w:rPr>
                <w:rStyle w:val="Hyperlink"/>
                <w:lang w:val="fr-BE"/>
              </w:rPr>
              <w:t>4.7</w:t>
            </w:r>
            <w:r w:rsidR="00134D88">
              <w:rPr>
                <w:rFonts w:asciiTheme="minorHAnsi" w:eastAsiaTheme="minorEastAsia" w:hAnsiTheme="minorHAnsi"/>
                <w:sz w:val="22"/>
                <w:lang w:val="en-BE" w:eastAsia="en-BE"/>
              </w:rPr>
              <w:tab/>
            </w:r>
            <w:r w:rsidR="00134D88" w:rsidRPr="00C33608">
              <w:rPr>
                <w:rStyle w:val="Hyperlink"/>
                <w:lang w:val="fr-BE"/>
              </w:rPr>
              <w:t>Entretien et étalonnage</w:t>
            </w:r>
            <w:r w:rsidR="00134D88">
              <w:rPr>
                <w:webHidden/>
              </w:rPr>
              <w:tab/>
            </w:r>
            <w:r w:rsidR="00134D88">
              <w:rPr>
                <w:webHidden/>
              </w:rPr>
              <w:fldChar w:fldCharType="begin"/>
            </w:r>
            <w:r w:rsidR="00134D88">
              <w:rPr>
                <w:webHidden/>
              </w:rPr>
              <w:instrText xml:space="preserve"> PAGEREF _Toc27564383 \h </w:instrText>
            </w:r>
            <w:r w:rsidR="00134D88">
              <w:rPr>
                <w:webHidden/>
              </w:rPr>
            </w:r>
            <w:r w:rsidR="00134D88">
              <w:rPr>
                <w:webHidden/>
              </w:rPr>
              <w:fldChar w:fldCharType="separate"/>
            </w:r>
            <w:r w:rsidR="00134D88">
              <w:rPr>
                <w:webHidden/>
              </w:rPr>
              <w:t>6</w:t>
            </w:r>
            <w:r w:rsidR="00134D88">
              <w:rPr>
                <w:webHidden/>
              </w:rPr>
              <w:fldChar w:fldCharType="end"/>
            </w:r>
          </w:hyperlink>
        </w:p>
        <w:p w14:paraId="30D3FB41" w14:textId="7DE88DC4" w:rsidR="00134D88" w:rsidRDefault="00ED759C">
          <w:pPr>
            <w:pStyle w:val="Inhopg3"/>
            <w:tabs>
              <w:tab w:val="left" w:pos="1247"/>
            </w:tabs>
            <w:rPr>
              <w:rFonts w:asciiTheme="minorHAnsi" w:eastAsiaTheme="minorEastAsia" w:hAnsiTheme="minorHAnsi"/>
              <w:lang w:val="en-BE" w:eastAsia="en-BE"/>
            </w:rPr>
          </w:pPr>
          <w:hyperlink w:anchor="_Toc27564384" w:history="1">
            <w:r w:rsidR="00134D88" w:rsidRPr="00C33608">
              <w:rPr>
                <w:rStyle w:val="Hyperlink"/>
                <w:lang w:val="fr-BE"/>
              </w:rPr>
              <w:t>4.7.1</w:t>
            </w:r>
            <w:r w:rsidR="00134D88">
              <w:rPr>
                <w:rFonts w:asciiTheme="minorHAnsi" w:eastAsiaTheme="minorEastAsia" w:hAnsiTheme="minorHAnsi"/>
                <w:lang w:val="en-BE" w:eastAsia="en-BE"/>
              </w:rPr>
              <w:tab/>
            </w:r>
            <w:r w:rsidR="00134D88" w:rsidRPr="00C33608">
              <w:rPr>
                <w:rStyle w:val="Hyperlink"/>
                <w:lang w:val="fr-BE"/>
              </w:rPr>
              <w:t>Identification</w:t>
            </w:r>
            <w:r w:rsidR="00134D88">
              <w:rPr>
                <w:webHidden/>
              </w:rPr>
              <w:tab/>
            </w:r>
            <w:r w:rsidR="00134D88">
              <w:rPr>
                <w:webHidden/>
              </w:rPr>
              <w:fldChar w:fldCharType="begin"/>
            </w:r>
            <w:r w:rsidR="00134D88">
              <w:rPr>
                <w:webHidden/>
              </w:rPr>
              <w:instrText xml:space="preserve"> PAGEREF _Toc27564384 \h </w:instrText>
            </w:r>
            <w:r w:rsidR="00134D88">
              <w:rPr>
                <w:webHidden/>
              </w:rPr>
            </w:r>
            <w:r w:rsidR="00134D88">
              <w:rPr>
                <w:webHidden/>
              </w:rPr>
              <w:fldChar w:fldCharType="separate"/>
            </w:r>
            <w:r w:rsidR="00134D88">
              <w:rPr>
                <w:webHidden/>
              </w:rPr>
              <w:t>6</w:t>
            </w:r>
            <w:r w:rsidR="00134D88">
              <w:rPr>
                <w:webHidden/>
              </w:rPr>
              <w:fldChar w:fldCharType="end"/>
            </w:r>
          </w:hyperlink>
        </w:p>
        <w:p w14:paraId="4F5AC806" w14:textId="45FF39CC" w:rsidR="00134D88" w:rsidRDefault="00ED759C">
          <w:pPr>
            <w:pStyle w:val="Inhopg3"/>
            <w:tabs>
              <w:tab w:val="left" w:pos="1247"/>
            </w:tabs>
            <w:rPr>
              <w:rFonts w:asciiTheme="minorHAnsi" w:eastAsiaTheme="minorEastAsia" w:hAnsiTheme="minorHAnsi"/>
              <w:lang w:val="en-BE" w:eastAsia="en-BE"/>
            </w:rPr>
          </w:pPr>
          <w:hyperlink w:anchor="_Toc27564385" w:history="1">
            <w:r w:rsidR="00134D88" w:rsidRPr="00C33608">
              <w:rPr>
                <w:rStyle w:val="Hyperlink"/>
                <w:lang w:val="fr-BE"/>
              </w:rPr>
              <w:t>4.7.2</w:t>
            </w:r>
            <w:r w:rsidR="00134D88">
              <w:rPr>
                <w:rFonts w:asciiTheme="minorHAnsi" w:eastAsiaTheme="minorEastAsia" w:hAnsiTheme="minorHAnsi"/>
                <w:lang w:val="en-BE" w:eastAsia="en-BE"/>
              </w:rPr>
              <w:tab/>
            </w:r>
            <w:r w:rsidR="00134D88" w:rsidRPr="00C33608">
              <w:rPr>
                <w:rStyle w:val="Hyperlink"/>
                <w:lang w:val="fr-BE"/>
              </w:rPr>
              <w:t>Date d’étalonnage et date de validité</w:t>
            </w:r>
            <w:r w:rsidR="00134D88">
              <w:rPr>
                <w:webHidden/>
              </w:rPr>
              <w:tab/>
            </w:r>
            <w:r w:rsidR="00134D88">
              <w:rPr>
                <w:webHidden/>
              </w:rPr>
              <w:fldChar w:fldCharType="begin"/>
            </w:r>
            <w:r w:rsidR="00134D88">
              <w:rPr>
                <w:webHidden/>
              </w:rPr>
              <w:instrText xml:space="preserve"> PAGEREF _Toc27564385 \h </w:instrText>
            </w:r>
            <w:r w:rsidR="00134D88">
              <w:rPr>
                <w:webHidden/>
              </w:rPr>
            </w:r>
            <w:r w:rsidR="00134D88">
              <w:rPr>
                <w:webHidden/>
              </w:rPr>
              <w:fldChar w:fldCharType="separate"/>
            </w:r>
            <w:r w:rsidR="00134D88">
              <w:rPr>
                <w:webHidden/>
              </w:rPr>
              <w:t>6</w:t>
            </w:r>
            <w:r w:rsidR="00134D88">
              <w:rPr>
                <w:webHidden/>
              </w:rPr>
              <w:fldChar w:fldCharType="end"/>
            </w:r>
          </w:hyperlink>
        </w:p>
        <w:p w14:paraId="68B87F18" w14:textId="014D68E9" w:rsidR="00134D88" w:rsidRDefault="00ED759C">
          <w:pPr>
            <w:pStyle w:val="Inhopg3"/>
            <w:tabs>
              <w:tab w:val="left" w:pos="1247"/>
            </w:tabs>
            <w:rPr>
              <w:rFonts w:asciiTheme="minorHAnsi" w:eastAsiaTheme="minorEastAsia" w:hAnsiTheme="minorHAnsi"/>
              <w:lang w:val="en-BE" w:eastAsia="en-BE"/>
            </w:rPr>
          </w:pPr>
          <w:hyperlink w:anchor="_Toc27564386" w:history="1">
            <w:r w:rsidR="00134D88" w:rsidRPr="00C33608">
              <w:rPr>
                <w:rStyle w:val="Hyperlink"/>
                <w:lang w:val="fr-BE"/>
              </w:rPr>
              <w:t>4.7.3</w:t>
            </w:r>
            <w:r w:rsidR="00134D88">
              <w:rPr>
                <w:rFonts w:asciiTheme="minorHAnsi" w:eastAsiaTheme="minorEastAsia" w:hAnsiTheme="minorHAnsi"/>
                <w:lang w:val="en-BE" w:eastAsia="en-BE"/>
              </w:rPr>
              <w:tab/>
            </w:r>
            <w:r w:rsidR="00134D88" w:rsidRPr="00C33608">
              <w:rPr>
                <w:rStyle w:val="Hyperlink"/>
                <w:lang w:val="fr-BE"/>
              </w:rPr>
              <w:t>Défauts ou résultats anormaux</w:t>
            </w:r>
            <w:r w:rsidR="00134D88">
              <w:rPr>
                <w:webHidden/>
              </w:rPr>
              <w:tab/>
            </w:r>
            <w:r w:rsidR="00134D88">
              <w:rPr>
                <w:webHidden/>
              </w:rPr>
              <w:fldChar w:fldCharType="begin"/>
            </w:r>
            <w:r w:rsidR="00134D88">
              <w:rPr>
                <w:webHidden/>
              </w:rPr>
              <w:instrText xml:space="preserve"> PAGEREF _Toc27564386 \h </w:instrText>
            </w:r>
            <w:r w:rsidR="00134D88">
              <w:rPr>
                <w:webHidden/>
              </w:rPr>
            </w:r>
            <w:r w:rsidR="00134D88">
              <w:rPr>
                <w:webHidden/>
              </w:rPr>
              <w:fldChar w:fldCharType="separate"/>
            </w:r>
            <w:r w:rsidR="00134D88">
              <w:rPr>
                <w:webHidden/>
              </w:rPr>
              <w:t>6</w:t>
            </w:r>
            <w:r w:rsidR="00134D88">
              <w:rPr>
                <w:webHidden/>
              </w:rPr>
              <w:fldChar w:fldCharType="end"/>
            </w:r>
          </w:hyperlink>
        </w:p>
        <w:p w14:paraId="08F0B1A9" w14:textId="5E9AE785" w:rsidR="00134D88" w:rsidRDefault="00ED759C">
          <w:pPr>
            <w:pStyle w:val="Inhopg1"/>
            <w:rPr>
              <w:rFonts w:asciiTheme="minorHAnsi" w:eastAsiaTheme="minorEastAsia" w:hAnsiTheme="minorHAnsi"/>
              <w:b w:val="0"/>
              <w:caps w:val="0"/>
              <w:color w:val="auto"/>
              <w:sz w:val="22"/>
              <w:lang w:val="en-BE" w:eastAsia="en-BE"/>
            </w:rPr>
          </w:pPr>
          <w:hyperlink w:anchor="_Toc27564387" w:history="1">
            <w:r w:rsidR="00134D88" w:rsidRPr="00C33608">
              <w:rPr>
                <w:rStyle w:val="Hyperlink"/>
                <w:lang w:val="fr-BE"/>
              </w:rPr>
              <w:t>5</w:t>
            </w:r>
            <w:r w:rsidR="00134D88">
              <w:rPr>
                <w:rFonts w:asciiTheme="minorHAnsi" w:eastAsiaTheme="minorEastAsia" w:hAnsiTheme="minorHAnsi"/>
                <w:b w:val="0"/>
                <w:caps w:val="0"/>
                <w:color w:val="auto"/>
                <w:sz w:val="22"/>
                <w:lang w:val="en-BE" w:eastAsia="en-BE"/>
              </w:rPr>
              <w:tab/>
            </w:r>
            <w:r w:rsidR="00134D88" w:rsidRPr="00C33608">
              <w:rPr>
                <w:rStyle w:val="Hyperlink"/>
                <w:lang w:val="fr-BE"/>
              </w:rPr>
              <w:t>Références</w:t>
            </w:r>
            <w:r w:rsidR="00134D88">
              <w:rPr>
                <w:webHidden/>
              </w:rPr>
              <w:tab/>
            </w:r>
            <w:r w:rsidR="00134D88">
              <w:rPr>
                <w:webHidden/>
              </w:rPr>
              <w:fldChar w:fldCharType="begin"/>
            </w:r>
            <w:r w:rsidR="00134D88">
              <w:rPr>
                <w:webHidden/>
              </w:rPr>
              <w:instrText xml:space="preserve"> PAGEREF _Toc27564387 \h </w:instrText>
            </w:r>
            <w:r w:rsidR="00134D88">
              <w:rPr>
                <w:webHidden/>
              </w:rPr>
            </w:r>
            <w:r w:rsidR="00134D88">
              <w:rPr>
                <w:webHidden/>
              </w:rPr>
              <w:fldChar w:fldCharType="separate"/>
            </w:r>
            <w:r w:rsidR="00134D88">
              <w:rPr>
                <w:webHidden/>
              </w:rPr>
              <w:t>6</w:t>
            </w:r>
            <w:r w:rsidR="00134D88">
              <w:rPr>
                <w:webHidden/>
              </w:rPr>
              <w:fldChar w:fldCharType="end"/>
            </w:r>
          </w:hyperlink>
        </w:p>
        <w:p w14:paraId="01076059" w14:textId="14DC5020" w:rsidR="00B66DA1" w:rsidRPr="00076EB7" w:rsidRDefault="00B66DA1" w:rsidP="003F21C9">
          <w:pPr>
            <w:rPr>
              <w:lang w:val="fr-BE"/>
            </w:rPr>
          </w:pPr>
          <w:r w:rsidRPr="00076EB7">
            <w:rPr>
              <w:b/>
              <w:caps/>
              <w:color w:val="009ADE"/>
              <w:sz w:val="28"/>
              <w:lang w:val="fr-BE"/>
            </w:rPr>
            <w:fldChar w:fldCharType="end"/>
          </w:r>
        </w:p>
      </w:sdtContent>
    </w:sdt>
    <w:p w14:paraId="1307E624" w14:textId="77777777" w:rsidR="00DC6BE6" w:rsidRPr="00076EB7" w:rsidRDefault="00DC6BE6" w:rsidP="003F21C9">
      <w:pPr>
        <w:rPr>
          <w:lang w:val="fr-BE"/>
        </w:rPr>
      </w:pPr>
    </w:p>
    <w:p w14:paraId="3114A236" w14:textId="77777777" w:rsidR="003F21C9" w:rsidRPr="00076EB7" w:rsidRDefault="003F21C9" w:rsidP="00934B06">
      <w:pPr>
        <w:pStyle w:val="BOFAS-standaardtekst"/>
        <w:rPr>
          <w:lang w:val="fr-BE"/>
        </w:rPr>
      </w:pPr>
    </w:p>
    <w:p w14:paraId="23C90629" w14:textId="77B0C642" w:rsidR="00E156F3" w:rsidRPr="00076EB7" w:rsidRDefault="00DC6BE6" w:rsidP="00134D88">
      <w:pPr>
        <w:pStyle w:val="BOFAS-standaardtekst"/>
        <w:rPr>
          <w:lang w:val="fr-BE"/>
        </w:rPr>
      </w:pPr>
      <w:r w:rsidRPr="00076EB7">
        <w:rPr>
          <w:noProof/>
          <w:lang w:val="fr-BE" w:eastAsia="nl-BE"/>
        </w:rPr>
        <mc:AlternateContent>
          <mc:Choice Requires="wps">
            <w:drawing>
              <wp:anchor distT="0" distB="0" distL="114300" distR="114300" simplePos="0" relativeHeight="251659264" behindDoc="0" locked="1" layoutInCell="1" allowOverlap="1" wp14:anchorId="6707DFA1" wp14:editId="341B141B">
                <wp:simplePos x="0" y="0"/>
                <wp:positionH relativeFrom="column">
                  <wp:posOffset>-57785</wp:posOffset>
                </wp:positionH>
                <wp:positionV relativeFrom="page">
                  <wp:posOffset>8877300</wp:posOffset>
                </wp:positionV>
                <wp:extent cx="5767200" cy="925200"/>
                <wp:effectExtent l="0" t="0" r="5080" b="8255"/>
                <wp:wrapSquare wrapText="bothSides"/>
                <wp:docPr id="30" name="Tekstvak 30"/>
                <wp:cNvGraphicFramePr/>
                <a:graphic xmlns:a="http://schemas.openxmlformats.org/drawingml/2006/main">
                  <a:graphicData uri="http://schemas.microsoft.com/office/word/2010/wordprocessingShape">
                    <wps:wsp>
                      <wps:cNvSpPr txBox="1"/>
                      <wps:spPr>
                        <a:xfrm>
                          <a:off x="0" y="0"/>
                          <a:ext cx="5767200" cy="92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5642A5" w:rsidRPr="00E156F3" w14:paraId="63D61D35" w14:textId="77777777" w:rsidTr="00E05180">
                              <w:trPr>
                                <w:hidden/>
                              </w:trPr>
                              <w:tc>
                                <w:tcPr>
                                  <w:tcW w:w="1242" w:type="dxa"/>
                                  <w:tcBorders>
                                    <w:right w:val="single" w:sz="4" w:space="0" w:color="auto"/>
                                  </w:tcBorders>
                                  <w:vAlign w:val="center"/>
                                </w:tcPr>
                                <w:p w14:paraId="45F95168" w14:textId="77777777" w:rsidR="005642A5" w:rsidRPr="00FD0A42" w:rsidRDefault="005642A5" w:rsidP="005642A5">
                                  <w:pPr>
                                    <w:jc w:val="left"/>
                                    <w:rPr>
                                      <w:b/>
                                      <w:vanish/>
                                      <w:sz w:val="18"/>
                                      <w:szCs w:val="18"/>
                                      <w:lang w:val="fr-BE"/>
                                    </w:rPr>
                                  </w:pPr>
                                  <w:r w:rsidRPr="00FD0A42">
                                    <w:rPr>
                                      <w:b/>
                                      <w:vanish/>
                                      <w:sz w:val="18"/>
                                      <w:szCs w:val="18"/>
                                      <w:lang w:val="fr-BE"/>
                                    </w:rPr>
                                    <w:t>N° de la version</w:t>
                                  </w:r>
                                </w:p>
                              </w:tc>
                              <w:tc>
                                <w:tcPr>
                                  <w:tcW w:w="1134" w:type="dxa"/>
                                  <w:tcBorders>
                                    <w:top w:val="single" w:sz="4" w:space="0" w:color="auto"/>
                                    <w:left w:val="single" w:sz="4" w:space="0" w:color="auto"/>
                                    <w:bottom w:val="single" w:sz="4" w:space="0" w:color="auto"/>
                                    <w:right w:val="single" w:sz="4" w:space="0" w:color="auto"/>
                                  </w:tcBorders>
                                  <w:vAlign w:val="center"/>
                                </w:tcPr>
                                <w:p w14:paraId="08B4ECCF" w14:textId="77777777" w:rsidR="005642A5" w:rsidRPr="00FD0A42" w:rsidRDefault="005642A5" w:rsidP="005642A5">
                                  <w:pPr>
                                    <w:jc w:val="left"/>
                                    <w:rPr>
                                      <w:b/>
                                      <w:vanish/>
                                      <w:sz w:val="18"/>
                                      <w:szCs w:val="18"/>
                                      <w:lang w:val="fr-BE"/>
                                    </w:rPr>
                                  </w:pPr>
                                  <w:r w:rsidRPr="00FD0A42">
                                    <w:rPr>
                                      <w:b/>
                                      <w:vanish/>
                                      <w:sz w:val="18"/>
                                      <w:szCs w:val="18"/>
                                      <w:lang w:val="fr-BE"/>
                                    </w:rPr>
                                    <w:t>Auteur</w:t>
                                  </w:r>
                                </w:p>
                              </w:tc>
                              <w:tc>
                                <w:tcPr>
                                  <w:tcW w:w="1418" w:type="dxa"/>
                                  <w:tcBorders>
                                    <w:left w:val="single" w:sz="4" w:space="0" w:color="auto"/>
                                  </w:tcBorders>
                                  <w:vAlign w:val="center"/>
                                </w:tcPr>
                                <w:p w14:paraId="1FED7580" w14:textId="77777777" w:rsidR="005642A5" w:rsidRPr="00FD0A42" w:rsidRDefault="005642A5" w:rsidP="005642A5">
                                  <w:pPr>
                                    <w:jc w:val="left"/>
                                    <w:rPr>
                                      <w:b/>
                                      <w:vanish/>
                                      <w:sz w:val="18"/>
                                      <w:szCs w:val="18"/>
                                      <w:lang w:val="fr-BE"/>
                                    </w:rPr>
                                  </w:pPr>
                                  <w:r w:rsidRPr="00FD0A42">
                                    <w:rPr>
                                      <w:b/>
                                      <w:vanish/>
                                      <w:sz w:val="18"/>
                                      <w:szCs w:val="18"/>
                                      <w:lang w:val="fr-BE"/>
                                    </w:rPr>
                                    <w:t>Approuvé par</w:t>
                                  </w:r>
                                </w:p>
                              </w:tc>
                              <w:tc>
                                <w:tcPr>
                                  <w:tcW w:w="1417" w:type="dxa"/>
                                  <w:vAlign w:val="center"/>
                                </w:tcPr>
                                <w:p w14:paraId="73C18118" w14:textId="77777777" w:rsidR="005642A5" w:rsidRPr="00FD0A42" w:rsidRDefault="005642A5" w:rsidP="005642A5">
                                  <w:pPr>
                                    <w:jc w:val="left"/>
                                    <w:rPr>
                                      <w:b/>
                                      <w:vanish/>
                                      <w:sz w:val="18"/>
                                      <w:szCs w:val="18"/>
                                      <w:lang w:val="fr-BE"/>
                                    </w:rPr>
                                  </w:pPr>
                                  <w:r w:rsidRPr="00FD0A42">
                                    <w:rPr>
                                      <w:b/>
                                      <w:vanish/>
                                      <w:sz w:val="18"/>
                                      <w:szCs w:val="18"/>
                                      <w:lang w:val="fr-BE"/>
                                    </w:rPr>
                                    <w:t>Date de la version</w:t>
                                  </w:r>
                                </w:p>
                              </w:tc>
                              <w:tc>
                                <w:tcPr>
                                  <w:tcW w:w="3697" w:type="dxa"/>
                                  <w:vAlign w:val="center"/>
                                </w:tcPr>
                                <w:p w14:paraId="61826E80" w14:textId="77777777" w:rsidR="005642A5" w:rsidRPr="00FD0A42" w:rsidRDefault="005642A5" w:rsidP="005642A5">
                                  <w:pPr>
                                    <w:jc w:val="left"/>
                                    <w:rPr>
                                      <w:b/>
                                      <w:vanish/>
                                      <w:sz w:val="18"/>
                                      <w:szCs w:val="18"/>
                                      <w:lang w:val="fr-BE"/>
                                    </w:rPr>
                                  </w:pPr>
                                  <w:r w:rsidRPr="00FD0A42">
                                    <w:rPr>
                                      <w:b/>
                                      <w:vanish/>
                                      <w:sz w:val="18"/>
                                      <w:szCs w:val="18"/>
                                      <w:lang w:val="fr-BE"/>
                                    </w:rPr>
                                    <w:t>Description adaptation</w:t>
                                  </w:r>
                                </w:p>
                              </w:tc>
                            </w:tr>
                            <w:tr w:rsidR="00922071" w:rsidRPr="00E156F3" w14:paraId="56FAAE3F" w14:textId="77777777" w:rsidTr="00491F1B">
                              <w:trPr>
                                <w:hidden/>
                              </w:trPr>
                              <w:tc>
                                <w:tcPr>
                                  <w:tcW w:w="1242" w:type="dxa"/>
                                  <w:vAlign w:val="center"/>
                                </w:tcPr>
                                <w:p w14:paraId="282B6BFF" w14:textId="233E41D6" w:rsidR="00922071" w:rsidRPr="00E156F3" w:rsidRDefault="00E640D0" w:rsidP="00E640D0">
                                  <w:pPr>
                                    <w:jc w:val="left"/>
                                    <w:rPr>
                                      <w:vanish/>
                                      <w:sz w:val="18"/>
                                    </w:rPr>
                                  </w:pPr>
                                  <w:bookmarkStart w:id="0" w:name="versienummer"/>
                                  <w:r w:rsidRPr="00E156F3">
                                    <w:rPr>
                                      <w:vanish/>
                                      <w:sz w:val="18"/>
                                    </w:rPr>
                                    <w:t xml:space="preserve">1 </w:t>
                                  </w:r>
                                  <w:bookmarkEnd w:id="0"/>
                                  <w:r w:rsidRPr="00E156F3">
                                    <w:rPr>
                                      <w:vanish/>
                                      <w:sz w:val="18"/>
                                    </w:rPr>
                                    <w:t xml:space="preserve">  </w:t>
                                  </w:r>
                                </w:p>
                              </w:tc>
                              <w:tc>
                                <w:tcPr>
                                  <w:tcW w:w="1134" w:type="dxa"/>
                                  <w:tcBorders>
                                    <w:top w:val="single" w:sz="4" w:space="0" w:color="auto"/>
                                  </w:tcBorders>
                                  <w:vAlign w:val="center"/>
                                </w:tcPr>
                                <w:p w14:paraId="24DAE523" w14:textId="250B223D" w:rsidR="00922071" w:rsidRPr="00E156F3" w:rsidRDefault="00390062" w:rsidP="00491F1B">
                                  <w:pPr>
                                    <w:jc w:val="left"/>
                                    <w:rPr>
                                      <w:vanish/>
                                      <w:sz w:val="18"/>
                                    </w:rPr>
                                  </w:pPr>
                                  <w:r>
                                    <w:rPr>
                                      <w:vanish/>
                                      <w:sz w:val="18"/>
                                    </w:rPr>
                                    <w:t>JDW</w:t>
                                  </w:r>
                                </w:p>
                              </w:tc>
                              <w:tc>
                                <w:tcPr>
                                  <w:tcW w:w="1418" w:type="dxa"/>
                                  <w:vAlign w:val="center"/>
                                </w:tcPr>
                                <w:p w14:paraId="7C953ED6" w14:textId="5F8AA135" w:rsidR="00922071" w:rsidRPr="00E156F3" w:rsidRDefault="00390062" w:rsidP="00491F1B">
                                  <w:pPr>
                                    <w:jc w:val="left"/>
                                    <w:rPr>
                                      <w:vanish/>
                                      <w:sz w:val="18"/>
                                    </w:rPr>
                                  </w:pPr>
                                  <w:r>
                                    <w:rPr>
                                      <w:vanish/>
                                      <w:sz w:val="18"/>
                                    </w:rPr>
                                    <w:t>EG</w:t>
                                  </w:r>
                                </w:p>
                              </w:tc>
                              <w:tc>
                                <w:tcPr>
                                  <w:tcW w:w="1417" w:type="dxa"/>
                                  <w:vAlign w:val="center"/>
                                </w:tcPr>
                                <w:p w14:paraId="049890C1" w14:textId="79BE4F3D" w:rsidR="00922071" w:rsidRPr="00E156F3" w:rsidRDefault="00ED759C" w:rsidP="00491F1B">
                                  <w:pPr>
                                    <w:jc w:val="left"/>
                                    <w:rPr>
                                      <w:vanish/>
                                      <w:sz w:val="18"/>
                                    </w:rPr>
                                  </w:pPr>
                                  <w:r>
                                    <w:rPr>
                                      <w:vanish/>
                                      <w:sz w:val="18"/>
                                    </w:rPr>
                                    <w:t>02/01/2020</w:t>
                                  </w:r>
                                </w:p>
                              </w:tc>
                              <w:tc>
                                <w:tcPr>
                                  <w:tcW w:w="3697" w:type="dxa"/>
                                  <w:vAlign w:val="center"/>
                                </w:tcPr>
                                <w:p w14:paraId="6BF5FD13" w14:textId="3B80B91A" w:rsidR="00922071" w:rsidRPr="00E156F3" w:rsidRDefault="00390062" w:rsidP="00491F1B">
                                  <w:pPr>
                                    <w:jc w:val="left"/>
                                    <w:rPr>
                                      <w:vanish/>
                                      <w:sz w:val="18"/>
                                    </w:rPr>
                                  </w:pPr>
                                  <w:r>
                                    <w:rPr>
                                      <w:vanish/>
                                      <w:sz w:val="18"/>
                                    </w:rPr>
                                    <w:t>Version 1 BOFAS 3</w:t>
                                  </w:r>
                                </w:p>
                              </w:tc>
                            </w:tr>
                            <w:tr w:rsidR="00922071" w:rsidRPr="00E156F3" w14:paraId="5AA4F3A7" w14:textId="77777777" w:rsidTr="00491F1B">
                              <w:trPr>
                                <w:hidden/>
                              </w:trPr>
                              <w:tc>
                                <w:tcPr>
                                  <w:tcW w:w="1242" w:type="dxa"/>
                                  <w:vAlign w:val="center"/>
                                </w:tcPr>
                                <w:p w14:paraId="69FB99E6" w14:textId="2FA273F1" w:rsidR="00922071" w:rsidRPr="00E156F3" w:rsidRDefault="00390062" w:rsidP="00491F1B">
                                  <w:pPr>
                                    <w:jc w:val="left"/>
                                    <w:rPr>
                                      <w:vanish/>
                                      <w:sz w:val="18"/>
                                    </w:rPr>
                                  </w:pPr>
                                  <w:r>
                                    <w:rPr>
                                      <w:vanish/>
                                      <w:sz w:val="18"/>
                                    </w:rPr>
                                    <w:t>2.05</w:t>
                                  </w:r>
                                </w:p>
                              </w:tc>
                              <w:tc>
                                <w:tcPr>
                                  <w:tcW w:w="1134" w:type="dxa"/>
                                  <w:vAlign w:val="center"/>
                                </w:tcPr>
                                <w:p w14:paraId="744C05C9" w14:textId="5E4B98B4" w:rsidR="00922071" w:rsidRPr="00E156F3" w:rsidRDefault="00390062" w:rsidP="00491F1B">
                                  <w:pPr>
                                    <w:jc w:val="left"/>
                                    <w:rPr>
                                      <w:vanish/>
                                      <w:sz w:val="18"/>
                                    </w:rPr>
                                  </w:pPr>
                                  <w:r>
                                    <w:rPr>
                                      <w:vanish/>
                                      <w:sz w:val="18"/>
                                    </w:rPr>
                                    <w:t>PB</w:t>
                                  </w:r>
                                </w:p>
                              </w:tc>
                              <w:tc>
                                <w:tcPr>
                                  <w:tcW w:w="1418" w:type="dxa"/>
                                  <w:vAlign w:val="center"/>
                                </w:tcPr>
                                <w:p w14:paraId="2386EC2E" w14:textId="3C07CD2D" w:rsidR="00922071" w:rsidRPr="00E156F3" w:rsidRDefault="00390062" w:rsidP="00491F1B">
                                  <w:pPr>
                                    <w:jc w:val="left"/>
                                    <w:rPr>
                                      <w:vanish/>
                                      <w:sz w:val="18"/>
                                    </w:rPr>
                                  </w:pPr>
                                  <w:r>
                                    <w:rPr>
                                      <w:vanish/>
                                      <w:sz w:val="18"/>
                                    </w:rPr>
                                    <w:t>JDW</w:t>
                                  </w:r>
                                </w:p>
                              </w:tc>
                              <w:tc>
                                <w:tcPr>
                                  <w:tcW w:w="1417" w:type="dxa"/>
                                  <w:vAlign w:val="center"/>
                                </w:tcPr>
                                <w:p w14:paraId="0A1F5371" w14:textId="40CE88AE" w:rsidR="00922071" w:rsidRPr="00E156F3" w:rsidRDefault="00390062" w:rsidP="00491F1B">
                                  <w:pPr>
                                    <w:jc w:val="left"/>
                                    <w:rPr>
                                      <w:vanish/>
                                      <w:sz w:val="18"/>
                                    </w:rPr>
                                  </w:pPr>
                                  <w:r>
                                    <w:rPr>
                                      <w:vanish/>
                                      <w:sz w:val="18"/>
                                    </w:rPr>
                                    <w:t>12/12/2019</w:t>
                                  </w:r>
                                </w:p>
                              </w:tc>
                              <w:tc>
                                <w:tcPr>
                                  <w:tcW w:w="3697" w:type="dxa"/>
                                  <w:vAlign w:val="center"/>
                                </w:tcPr>
                                <w:p w14:paraId="6ED0C866" w14:textId="3DA3301C" w:rsidR="00922071" w:rsidRPr="00E156F3" w:rsidRDefault="00390062" w:rsidP="00491F1B">
                                  <w:pPr>
                                    <w:jc w:val="left"/>
                                    <w:rPr>
                                      <w:vanish/>
                                      <w:sz w:val="18"/>
                                    </w:rPr>
                                  </w:pPr>
                                  <w:r>
                                    <w:rPr>
                                      <w:vanish/>
                                      <w:sz w:val="18"/>
                                    </w:rPr>
                                    <w:t>Adaptations cfr BOFAS 3</w:t>
                                  </w:r>
                                </w:p>
                              </w:tc>
                            </w:tr>
                            <w:tr w:rsidR="00390062" w:rsidRPr="00E156F3" w14:paraId="5A808172" w14:textId="77777777" w:rsidTr="00491F1B">
                              <w:trPr>
                                <w:hidden/>
                              </w:trPr>
                              <w:tc>
                                <w:tcPr>
                                  <w:tcW w:w="1242" w:type="dxa"/>
                                  <w:vAlign w:val="center"/>
                                </w:tcPr>
                                <w:p w14:paraId="66EDEFCB" w14:textId="387985AD" w:rsidR="00390062" w:rsidRPr="00E156F3" w:rsidRDefault="00390062" w:rsidP="00491F1B">
                                  <w:pPr>
                                    <w:jc w:val="left"/>
                                    <w:rPr>
                                      <w:vanish/>
                                      <w:sz w:val="18"/>
                                    </w:rPr>
                                  </w:pPr>
                                  <w:r>
                                    <w:rPr>
                                      <w:vanish/>
                                      <w:sz w:val="18"/>
                                    </w:rPr>
                                    <w:t>2</w:t>
                                  </w:r>
                                </w:p>
                              </w:tc>
                              <w:tc>
                                <w:tcPr>
                                  <w:tcW w:w="1134" w:type="dxa"/>
                                  <w:vAlign w:val="center"/>
                                </w:tcPr>
                                <w:p w14:paraId="511538E1" w14:textId="3D5448BF" w:rsidR="00390062" w:rsidRPr="00E156F3" w:rsidRDefault="00390062" w:rsidP="00491F1B">
                                  <w:pPr>
                                    <w:jc w:val="left"/>
                                    <w:rPr>
                                      <w:vanish/>
                                      <w:sz w:val="18"/>
                                    </w:rPr>
                                  </w:pPr>
                                  <w:r>
                                    <w:rPr>
                                      <w:vanish/>
                                      <w:sz w:val="18"/>
                                    </w:rPr>
                                    <w:t>JDW</w:t>
                                  </w:r>
                                </w:p>
                              </w:tc>
                              <w:tc>
                                <w:tcPr>
                                  <w:tcW w:w="1418" w:type="dxa"/>
                                  <w:vAlign w:val="center"/>
                                </w:tcPr>
                                <w:p w14:paraId="3634036E" w14:textId="3B766877" w:rsidR="00390062" w:rsidRPr="00E156F3" w:rsidRDefault="00390062" w:rsidP="00491F1B">
                                  <w:pPr>
                                    <w:jc w:val="left"/>
                                    <w:rPr>
                                      <w:vanish/>
                                      <w:sz w:val="18"/>
                                    </w:rPr>
                                  </w:pPr>
                                  <w:r>
                                    <w:rPr>
                                      <w:vanish/>
                                      <w:sz w:val="18"/>
                                    </w:rPr>
                                    <w:t>DL</w:t>
                                  </w:r>
                                </w:p>
                              </w:tc>
                              <w:tc>
                                <w:tcPr>
                                  <w:tcW w:w="1417" w:type="dxa"/>
                                  <w:vAlign w:val="center"/>
                                </w:tcPr>
                                <w:p w14:paraId="047457D3" w14:textId="239381A8" w:rsidR="00390062" w:rsidRPr="00E156F3" w:rsidRDefault="00390062" w:rsidP="00491F1B">
                                  <w:pPr>
                                    <w:jc w:val="left"/>
                                    <w:rPr>
                                      <w:vanish/>
                                      <w:sz w:val="18"/>
                                    </w:rPr>
                                  </w:pPr>
                                  <w:r>
                                    <w:rPr>
                                      <w:vanish/>
                                      <w:sz w:val="18"/>
                                    </w:rPr>
                                    <w:t>10/10/2006</w:t>
                                  </w:r>
                                </w:p>
                              </w:tc>
                              <w:tc>
                                <w:tcPr>
                                  <w:tcW w:w="3697" w:type="dxa"/>
                                  <w:vAlign w:val="center"/>
                                </w:tcPr>
                                <w:p w14:paraId="7E59EA5A" w14:textId="77777777" w:rsidR="00390062" w:rsidRPr="00E156F3" w:rsidRDefault="00390062" w:rsidP="00491F1B">
                                  <w:pPr>
                                    <w:jc w:val="left"/>
                                    <w:rPr>
                                      <w:vanish/>
                                      <w:sz w:val="18"/>
                                    </w:rPr>
                                  </w:pPr>
                                </w:p>
                              </w:tc>
                            </w:tr>
                            <w:tr w:rsidR="00390062" w:rsidRPr="00E156F3" w14:paraId="3A7CC54B" w14:textId="77777777" w:rsidTr="00491F1B">
                              <w:trPr>
                                <w:hidden/>
                              </w:trPr>
                              <w:tc>
                                <w:tcPr>
                                  <w:tcW w:w="1242" w:type="dxa"/>
                                  <w:vAlign w:val="center"/>
                                </w:tcPr>
                                <w:p w14:paraId="402014F1" w14:textId="290A2015" w:rsidR="00390062" w:rsidRPr="00E156F3" w:rsidRDefault="00390062" w:rsidP="00491F1B">
                                  <w:pPr>
                                    <w:jc w:val="left"/>
                                    <w:rPr>
                                      <w:vanish/>
                                      <w:sz w:val="18"/>
                                    </w:rPr>
                                  </w:pPr>
                                  <w:r>
                                    <w:rPr>
                                      <w:vanish/>
                                      <w:sz w:val="18"/>
                                    </w:rPr>
                                    <w:t>1</w:t>
                                  </w:r>
                                </w:p>
                              </w:tc>
                              <w:tc>
                                <w:tcPr>
                                  <w:tcW w:w="1134" w:type="dxa"/>
                                  <w:vAlign w:val="center"/>
                                </w:tcPr>
                                <w:p w14:paraId="29D027AF" w14:textId="77777777" w:rsidR="00390062" w:rsidRPr="00E156F3" w:rsidRDefault="00390062" w:rsidP="00491F1B">
                                  <w:pPr>
                                    <w:jc w:val="left"/>
                                    <w:rPr>
                                      <w:vanish/>
                                      <w:sz w:val="18"/>
                                    </w:rPr>
                                  </w:pPr>
                                </w:p>
                              </w:tc>
                              <w:tc>
                                <w:tcPr>
                                  <w:tcW w:w="1418" w:type="dxa"/>
                                  <w:vAlign w:val="center"/>
                                </w:tcPr>
                                <w:p w14:paraId="318F3F04" w14:textId="77777777" w:rsidR="00390062" w:rsidRPr="00E156F3" w:rsidRDefault="00390062" w:rsidP="00491F1B">
                                  <w:pPr>
                                    <w:jc w:val="left"/>
                                    <w:rPr>
                                      <w:vanish/>
                                      <w:sz w:val="18"/>
                                    </w:rPr>
                                  </w:pPr>
                                </w:p>
                              </w:tc>
                              <w:tc>
                                <w:tcPr>
                                  <w:tcW w:w="1417" w:type="dxa"/>
                                  <w:vAlign w:val="center"/>
                                </w:tcPr>
                                <w:p w14:paraId="5F713925" w14:textId="75AD76A0" w:rsidR="00390062" w:rsidRPr="00E156F3" w:rsidRDefault="00390062" w:rsidP="00491F1B">
                                  <w:pPr>
                                    <w:jc w:val="left"/>
                                    <w:rPr>
                                      <w:vanish/>
                                      <w:sz w:val="18"/>
                                    </w:rPr>
                                  </w:pPr>
                                  <w:r>
                                    <w:rPr>
                                      <w:vanish/>
                                      <w:sz w:val="18"/>
                                    </w:rPr>
                                    <w:t>15/07/2004</w:t>
                                  </w:r>
                                </w:p>
                              </w:tc>
                              <w:tc>
                                <w:tcPr>
                                  <w:tcW w:w="3697" w:type="dxa"/>
                                  <w:vAlign w:val="center"/>
                                </w:tcPr>
                                <w:p w14:paraId="15AA1F3B" w14:textId="77777777" w:rsidR="00390062" w:rsidRPr="00E156F3" w:rsidRDefault="00390062" w:rsidP="00491F1B">
                                  <w:pPr>
                                    <w:jc w:val="left"/>
                                    <w:rPr>
                                      <w:vanish/>
                                      <w:sz w:val="18"/>
                                    </w:rPr>
                                  </w:pPr>
                                </w:p>
                              </w:tc>
                            </w:tr>
                          </w:tbl>
                          <w:p w14:paraId="05243E97" w14:textId="77777777" w:rsidR="00DC6BE6" w:rsidRDefault="00DC6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7DFA1" id="_x0000_t202" coordsize="21600,21600" o:spt="202" path="m,l,21600r21600,l21600,xe">
                <v:stroke joinstyle="miter"/>
                <v:path gradientshapeok="t" o:connecttype="rect"/>
              </v:shapetype>
              <v:shape id="Tekstvak 30" o:spid="_x0000_s1026" type="#_x0000_t202" style="position:absolute;margin-left:-4.55pt;margin-top:699pt;width:454.1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" fillcolor="white [3201]" stroked="f" strokeweight=".5pt">
                <v:textbo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5642A5" w:rsidRPr="00E156F3" w14:paraId="63D61D35" w14:textId="77777777" w:rsidTr="00E05180">
                        <w:trPr>
                          <w:hidden/>
                        </w:trPr>
                        <w:tc>
                          <w:tcPr>
                            <w:tcW w:w="1242" w:type="dxa"/>
                            <w:tcBorders>
                              <w:right w:val="single" w:sz="4" w:space="0" w:color="auto"/>
                            </w:tcBorders>
                            <w:vAlign w:val="center"/>
                          </w:tcPr>
                          <w:p w14:paraId="45F95168" w14:textId="77777777" w:rsidR="005642A5" w:rsidRPr="00FD0A42" w:rsidRDefault="005642A5" w:rsidP="005642A5">
                            <w:pPr>
                              <w:jc w:val="left"/>
                              <w:rPr>
                                <w:b/>
                                <w:vanish/>
                                <w:sz w:val="18"/>
                                <w:szCs w:val="18"/>
                                <w:lang w:val="fr-BE"/>
                              </w:rPr>
                            </w:pPr>
                            <w:r w:rsidRPr="00FD0A42">
                              <w:rPr>
                                <w:b/>
                                <w:vanish/>
                                <w:sz w:val="18"/>
                                <w:szCs w:val="18"/>
                                <w:lang w:val="fr-BE"/>
                              </w:rPr>
                              <w:t>N° de la version</w:t>
                            </w:r>
                          </w:p>
                        </w:tc>
                        <w:tc>
                          <w:tcPr>
                            <w:tcW w:w="1134" w:type="dxa"/>
                            <w:tcBorders>
                              <w:top w:val="single" w:sz="4" w:space="0" w:color="auto"/>
                              <w:left w:val="single" w:sz="4" w:space="0" w:color="auto"/>
                              <w:bottom w:val="single" w:sz="4" w:space="0" w:color="auto"/>
                              <w:right w:val="single" w:sz="4" w:space="0" w:color="auto"/>
                            </w:tcBorders>
                            <w:vAlign w:val="center"/>
                          </w:tcPr>
                          <w:p w14:paraId="08B4ECCF" w14:textId="77777777" w:rsidR="005642A5" w:rsidRPr="00FD0A42" w:rsidRDefault="005642A5" w:rsidP="005642A5">
                            <w:pPr>
                              <w:jc w:val="left"/>
                              <w:rPr>
                                <w:b/>
                                <w:vanish/>
                                <w:sz w:val="18"/>
                                <w:szCs w:val="18"/>
                                <w:lang w:val="fr-BE"/>
                              </w:rPr>
                            </w:pPr>
                            <w:r w:rsidRPr="00FD0A42">
                              <w:rPr>
                                <w:b/>
                                <w:vanish/>
                                <w:sz w:val="18"/>
                                <w:szCs w:val="18"/>
                                <w:lang w:val="fr-BE"/>
                              </w:rPr>
                              <w:t>Auteur</w:t>
                            </w:r>
                          </w:p>
                        </w:tc>
                        <w:tc>
                          <w:tcPr>
                            <w:tcW w:w="1418" w:type="dxa"/>
                            <w:tcBorders>
                              <w:left w:val="single" w:sz="4" w:space="0" w:color="auto"/>
                            </w:tcBorders>
                            <w:vAlign w:val="center"/>
                          </w:tcPr>
                          <w:p w14:paraId="1FED7580" w14:textId="77777777" w:rsidR="005642A5" w:rsidRPr="00FD0A42" w:rsidRDefault="005642A5" w:rsidP="005642A5">
                            <w:pPr>
                              <w:jc w:val="left"/>
                              <w:rPr>
                                <w:b/>
                                <w:vanish/>
                                <w:sz w:val="18"/>
                                <w:szCs w:val="18"/>
                                <w:lang w:val="fr-BE"/>
                              </w:rPr>
                            </w:pPr>
                            <w:r w:rsidRPr="00FD0A42">
                              <w:rPr>
                                <w:b/>
                                <w:vanish/>
                                <w:sz w:val="18"/>
                                <w:szCs w:val="18"/>
                                <w:lang w:val="fr-BE"/>
                              </w:rPr>
                              <w:t>Approuvé par</w:t>
                            </w:r>
                          </w:p>
                        </w:tc>
                        <w:tc>
                          <w:tcPr>
                            <w:tcW w:w="1417" w:type="dxa"/>
                            <w:vAlign w:val="center"/>
                          </w:tcPr>
                          <w:p w14:paraId="73C18118" w14:textId="77777777" w:rsidR="005642A5" w:rsidRPr="00FD0A42" w:rsidRDefault="005642A5" w:rsidP="005642A5">
                            <w:pPr>
                              <w:jc w:val="left"/>
                              <w:rPr>
                                <w:b/>
                                <w:vanish/>
                                <w:sz w:val="18"/>
                                <w:szCs w:val="18"/>
                                <w:lang w:val="fr-BE"/>
                              </w:rPr>
                            </w:pPr>
                            <w:r w:rsidRPr="00FD0A42">
                              <w:rPr>
                                <w:b/>
                                <w:vanish/>
                                <w:sz w:val="18"/>
                                <w:szCs w:val="18"/>
                                <w:lang w:val="fr-BE"/>
                              </w:rPr>
                              <w:t>Date de la version</w:t>
                            </w:r>
                          </w:p>
                        </w:tc>
                        <w:tc>
                          <w:tcPr>
                            <w:tcW w:w="3697" w:type="dxa"/>
                            <w:vAlign w:val="center"/>
                          </w:tcPr>
                          <w:p w14:paraId="61826E80" w14:textId="77777777" w:rsidR="005642A5" w:rsidRPr="00FD0A42" w:rsidRDefault="005642A5" w:rsidP="005642A5">
                            <w:pPr>
                              <w:jc w:val="left"/>
                              <w:rPr>
                                <w:b/>
                                <w:vanish/>
                                <w:sz w:val="18"/>
                                <w:szCs w:val="18"/>
                                <w:lang w:val="fr-BE"/>
                              </w:rPr>
                            </w:pPr>
                            <w:r w:rsidRPr="00FD0A42">
                              <w:rPr>
                                <w:b/>
                                <w:vanish/>
                                <w:sz w:val="18"/>
                                <w:szCs w:val="18"/>
                                <w:lang w:val="fr-BE"/>
                              </w:rPr>
                              <w:t>Description adaptation</w:t>
                            </w:r>
                          </w:p>
                        </w:tc>
                      </w:tr>
                      <w:tr w:rsidR="00922071" w:rsidRPr="00E156F3" w14:paraId="56FAAE3F" w14:textId="77777777" w:rsidTr="00491F1B">
                        <w:trPr>
                          <w:hidden/>
                        </w:trPr>
                        <w:tc>
                          <w:tcPr>
                            <w:tcW w:w="1242" w:type="dxa"/>
                            <w:vAlign w:val="center"/>
                          </w:tcPr>
                          <w:p w14:paraId="282B6BFF" w14:textId="233E41D6" w:rsidR="00922071" w:rsidRPr="00E156F3" w:rsidRDefault="00E640D0" w:rsidP="00E640D0">
                            <w:pPr>
                              <w:jc w:val="left"/>
                              <w:rPr>
                                <w:vanish/>
                                <w:sz w:val="18"/>
                              </w:rPr>
                            </w:pPr>
                            <w:bookmarkStart w:id="1" w:name="versienummer"/>
                            <w:r w:rsidRPr="00E156F3">
                              <w:rPr>
                                <w:vanish/>
                                <w:sz w:val="18"/>
                              </w:rPr>
                              <w:t xml:space="preserve">1 </w:t>
                            </w:r>
                            <w:bookmarkEnd w:id="1"/>
                            <w:r w:rsidRPr="00E156F3">
                              <w:rPr>
                                <w:vanish/>
                                <w:sz w:val="18"/>
                              </w:rPr>
                              <w:t xml:space="preserve">  </w:t>
                            </w:r>
                          </w:p>
                        </w:tc>
                        <w:tc>
                          <w:tcPr>
                            <w:tcW w:w="1134" w:type="dxa"/>
                            <w:tcBorders>
                              <w:top w:val="single" w:sz="4" w:space="0" w:color="auto"/>
                            </w:tcBorders>
                            <w:vAlign w:val="center"/>
                          </w:tcPr>
                          <w:p w14:paraId="24DAE523" w14:textId="250B223D" w:rsidR="00922071" w:rsidRPr="00E156F3" w:rsidRDefault="00390062" w:rsidP="00491F1B">
                            <w:pPr>
                              <w:jc w:val="left"/>
                              <w:rPr>
                                <w:vanish/>
                                <w:sz w:val="18"/>
                              </w:rPr>
                            </w:pPr>
                            <w:r>
                              <w:rPr>
                                <w:vanish/>
                                <w:sz w:val="18"/>
                              </w:rPr>
                              <w:t>JDW</w:t>
                            </w:r>
                          </w:p>
                        </w:tc>
                        <w:tc>
                          <w:tcPr>
                            <w:tcW w:w="1418" w:type="dxa"/>
                            <w:vAlign w:val="center"/>
                          </w:tcPr>
                          <w:p w14:paraId="7C953ED6" w14:textId="5F8AA135" w:rsidR="00922071" w:rsidRPr="00E156F3" w:rsidRDefault="00390062" w:rsidP="00491F1B">
                            <w:pPr>
                              <w:jc w:val="left"/>
                              <w:rPr>
                                <w:vanish/>
                                <w:sz w:val="18"/>
                              </w:rPr>
                            </w:pPr>
                            <w:r>
                              <w:rPr>
                                <w:vanish/>
                                <w:sz w:val="18"/>
                              </w:rPr>
                              <w:t>EG</w:t>
                            </w:r>
                          </w:p>
                        </w:tc>
                        <w:tc>
                          <w:tcPr>
                            <w:tcW w:w="1417" w:type="dxa"/>
                            <w:vAlign w:val="center"/>
                          </w:tcPr>
                          <w:p w14:paraId="049890C1" w14:textId="79BE4F3D" w:rsidR="00922071" w:rsidRPr="00E156F3" w:rsidRDefault="00ED759C" w:rsidP="00491F1B">
                            <w:pPr>
                              <w:jc w:val="left"/>
                              <w:rPr>
                                <w:vanish/>
                                <w:sz w:val="18"/>
                              </w:rPr>
                            </w:pPr>
                            <w:r>
                              <w:rPr>
                                <w:vanish/>
                                <w:sz w:val="18"/>
                              </w:rPr>
                              <w:t>02/01/2020</w:t>
                            </w:r>
                          </w:p>
                        </w:tc>
                        <w:tc>
                          <w:tcPr>
                            <w:tcW w:w="3697" w:type="dxa"/>
                            <w:vAlign w:val="center"/>
                          </w:tcPr>
                          <w:p w14:paraId="6BF5FD13" w14:textId="3B80B91A" w:rsidR="00922071" w:rsidRPr="00E156F3" w:rsidRDefault="00390062" w:rsidP="00491F1B">
                            <w:pPr>
                              <w:jc w:val="left"/>
                              <w:rPr>
                                <w:vanish/>
                                <w:sz w:val="18"/>
                              </w:rPr>
                            </w:pPr>
                            <w:r>
                              <w:rPr>
                                <w:vanish/>
                                <w:sz w:val="18"/>
                              </w:rPr>
                              <w:t>Version 1 BOFAS 3</w:t>
                            </w:r>
                          </w:p>
                        </w:tc>
                      </w:tr>
                      <w:tr w:rsidR="00922071" w:rsidRPr="00E156F3" w14:paraId="5AA4F3A7" w14:textId="77777777" w:rsidTr="00491F1B">
                        <w:trPr>
                          <w:hidden/>
                        </w:trPr>
                        <w:tc>
                          <w:tcPr>
                            <w:tcW w:w="1242" w:type="dxa"/>
                            <w:vAlign w:val="center"/>
                          </w:tcPr>
                          <w:p w14:paraId="69FB99E6" w14:textId="2FA273F1" w:rsidR="00922071" w:rsidRPr="00E156F3" w:rsidRDefault="00390062" w:rsidP="00491F1B">
                            <w:pPr>
                              <w:jc w:val="left"/>
                              <w:rPr>
                                <w:vanish/>
                                <w:sz w:val="18"/>
                              </w:rPr>
                            </w:pPr>
                            <w:r>
                              <w:rPr>
                                <w:vanish/>
                                <w:sz w:val="18"/>
                              </w:rPr>
                              <w:t>2.05</w:t>
                            </w:r>
                          </w:p>
                        </w:tc>
                        <w:tc>
                          <w:tcPr>
                            <w:tcW w:w="1134" w:type="dxa"/>
                            <w:vAlign w:val="center"/>
                          </w:tcPr>
                          <w:p w14:paraId="744C05C9" w14:textId="5E4B98B4" w:rsidR="00922071" w:rsidRPr="00E156F3" w:rsidRDefault="00390062" w:rsidP="00491F1B">
                            <w:pPr>
                              <w:jc w:val="left"/>
                              <w:rPr>
                                <w:vanish/>
                                <w:sz w:val="18"/>
                              </w:rPr>
                            </w:pPr>
                            <w:r>
                              <w:rPr>
                                <w:vanish/>
                                <w:sz w:val="18"/>
                              </w:rPr>
                              <w:t>PB</w:t>
                            </w:r>
                          </w:p>
                        </w:tc>
                        <w:tc>
                          <w:tcPr>
                            <w:tcW w:w="1418" w:type="dxa"/>
                            <w:vAlign w:val="center"/>
                          </w:tcPr>
                          <w:p w14:paraId="2386EC2E" w14:textId="3C07CD2D" w:rsidR="00922071" w:rsidRPr="00E156F3" w:rsidRDefault="00390062" w:rsidP="00491F1B">
                            <w:pPr>
                              <w:jc w:val="left"/>
                              <w:rPr>
                                <w:vanish/>
                                <w:sz w:val="18"/>
                              </w:rPr>
                            </w:pPr>
                            <w:r>
                              <w:rPr>
                                <w:vanish/>
                                <w:sz w:val="18"/>
                              </w:rPr>
                              <w:t>JDW</w:t>
                            </w:r>
                          </w:p>
                        </w:tc>
                        <w:tc>
                          <w:tcPr>
                            <w:tcW w:w="1417" w:type="dxa"/>
                            <w:vAlign w:val="center"/>
                          </w:tcPr>
                          <w:p w14:paraId="0A1F5371" w14:textId="40CE88AE" w:rsidR="00922071" w:rsidRPr="00E156F3" w:rsidRDefault="00390062" w:rsidP="00491F1B">
                            <w:pPr>
                              <w:jc w:val="left"/>
                              <w:rPr>
                                <w:vanish/>
                                <w:sz w:val="18"/>
                              </w:rPr>
                            </w:pPr>
                            <w:r>
                              <w:rPr>
                                <w:vanish/>
                                <w:sz w:val="18"/>
                              </w:rPr>
                              <w:t>12/12/2019</w:t>
                            </w:r>
                          </w:p>
                        </w:tc>
                        <w:tc>
                          <w:tcPr>
                            <w:tcW w:w="3697" w:type="dxa"/>
                            <w:vAlign w:val="center"/>
                          </w:tcPr>
                          <w:p w14:paraId="6ED0C866" w14:textId="3DA3301C" w:rsidR="00922071" w:rsidRPr="00E156F3" w:rsidRDefault="00390062" w:rsidP="00491F1B">
                            <w:pPr>
                              <w:jc w:val="left"/>
                              <w:rPr>
                                <w:vanish/>
                                <w:sz w:val="18"/>
                              </w:rPr>
                            </w:pPr>
                            <w:r>
                              <w:rPr>
                                <w:vanish/>
                                <w:sz w:val="18"/>
                              </w:rPr>
                              <w:t>Adaptations cfr BOFAS 3</w:t>
                            </w:r>
                          </w:p>
                        </w:tc>
                      </w:tr>
                      <w:tr w:rsidR="00390062" w:rsidRPr="00E156F3" w14:paraId="5A808172" w14:textId="77777777" w:rsidTr="00491F1B">
                        <w:trPr>
                          <w:hidden/>
                        </w:trPr>
                        <w:tc>
                          <w:tcPr>
                            <w:tcW w:w="1242" w:type="dxa"/>
                            <w:vAlign w:val="center"/>
                          </w:tcPr>
                          <w:p w14:paraId="66EDEFCB" w14:textId="387985AD" w:rsidR="00390062" w:rsidRPr="00E156F3" w:rsidRDefault="00390062" w:rsidP="00491F1B">
                            <w:pPr>
                              <w:jc w:val="left"/>
                              <w:rPr>
                                <w:vanish/>
                                <w:sz w:val="18"/>
                              </w:rPr>
                            </w:pPr>
                            <w:r>
                              <w:rPr>
                                <w:vanish/>
                                <w:sz w:val="18"/>
                              </w:rPr>
                              <w:t>2</w:t>
                            </w:r>
                          </w:p>
                        </w:tc>
                        <w:tc>
                          <w:tcPr>
                            <w:tcW w:w="1134" w:type="dxa"/>
                            <w:vAlign w:val="center"/>
                          </w:tcPr>
                          <w:p w14:paraId="511538E1" w14:textId="3D5448BF" w:rsidR="00390062" w:rsidRPr="00E156F3" w:rsidRDefault="00390062" w:rsidP="00491F1B">
                            <w:pPr>
                              <w:jc w:val="left"/>
                              <w:rPr>
                                <w:vanish/>
                                <w:sz w:val="18"/>
                              </w:rPr>
                            </w:pPr>
                            <w:r>
                              <w:rPr>
                                <w:vanish/>
                                <w:sz w:val="18"/>
                              </w:rPr>
                              <w:t>JDW</w:t>
                            </w:r>
                          </w:p>
                        </w:tc>
                        <w:tc>
                          <w:tcPr>
                            <w:tcW w:w="1418" w:type="dxa"/>
                            <w:vAlign w:val="center"/>
                          </w:tcPr>
                          <w:p w14:paraId="3634036E" w14:textId="3B766877" w:rsidR="00390062" w:rsidRPr="00E156F3" w:rsidRDefault="00390062" w:rsidP="00491F1B">
                            <w:pPr>
                              <w:jc w:val="left"/>
                              <w:rPr>
                                <w:vanish/>
                                <w:sz w:val="18"/>
                              </w:rPr>
                            </w:pPr>
                            <w:r>
                              <w:rPr>
                                <w:vanish/>
                                <w:sz w:val="18"/>
                              </w:rPr>
                              <w:t>DL</w:t>
                            </w:r>
                          </w:p>
                        </w:tc>
                        <w:tc>
                          <w:tcPr>
                            <w:tcW w:w="1417" w:type="dxa"/>
                            <w:vAlign w:val="center"/>
                          </w:tcPr>
                          <w:p w14:paraId="047457D3" w14:textId="239381A8" w:rsidR="00390062" w:rsidRPr="00E156F3" w:rsidRDefault="00390062" w:rsidP="00491F1B">
                            <w:pPr>
                              <w:jc w:val="left"/>
                              <w:rPr>
                                <w:vanish/>
                                <w:sz w:val="18"/>
                              </w:rPr>
                            </w:pPr>
                            <w:r>
                              <w:rPr>
                                <w:vanish/>
                                <w:sz w:val="18"/>
                              </w:rPr>
                              <w:t>10/10/2006</w:t>
                            </w:r>
                          </w:p>
                        </w:tc>
                        <w:tc>
                          <w:tcPr>
                            <w:tcW w:w="3697" w:type="dxa"/>
                            <w:vAlign w:val="center"/>
                          </w:tcPr>
                          <w:p w14:paraId="7E59EA5A" w14:textId="77777777" w:rsidR="00390062" w:rsidRPr="00E156F3" w:rsidRDefault="00390062" w:rsidP="00491F1B">
                            <w:pPr>
                              <w:jc w:val="left"/>
                              <w:rPr>
                                <w:vanish/>
                                <w:sz w:val="18"/>
                              </w:rPr>
                            </w:pPr>
                          </w:p>
                        </w:tc>
                      </w:tr>
                      <w:tr w:rsidR="00390062" w:rsidRPr="00E156F3" w14:paraId="3A7CC54B" w14:textId="77777777" w:rsidTr="00491F1B">
                        <w:trPr>
                          <w:hidden/>
                        </w:trPr>
                        <w:tc>
                          <w:tcPr>
                            <w:tcW w:w="1242" w:type="dxa"/>
                            <w:vAlign w:val="center"/>
                          </w:tcPr>
                          <w:p w14:paraId="402014F1" w14:textId="290A2015" w:rsidR="00390062" w:rsidRPr="00E156F3" w:rsidRDefault="00390062" w:rsidP="00491F1B">
                            <w:pPr>
                              <w:jc w:val="left"/>
                              <w:rPr>
                                <w:vanish/>
                                <w:sz w:val="18"/>
                              </w:rPr>
                            </w:pPr>
                            <w:r>
                              <w:rPr>
                                <w:vanish/>
                                <w:sz w:val="18"/>
                              </w:rPr>
                              <w:t>1</w:t>
                            </w:r>
                          </w:p>
                        </w:tc>
                        <w:tc>
                          <w:tcPr>
                            <w:tcW w:w="1134" w:type="dxa"/>
                            <w:vAlign w:val="center"/>
                          </w:tcPr>
                          <w:p w14:paraId="29D027AF" w14:textId="77777777" w:rsidR="00390062" w:rsidRPr="00E156F3" w:rsidRDefault="00390062" w:rsidP="00491F1B">
                            <w:pPr>
                              <w:jc w:val="left"/>
                              <w:rPr>
                                <w:vanish/>
                                <w:sz w:val="18"/>
                              </w:rPr>
                            </w:pPr>
                          </w:p>
                        </w:tc>
                        <w:tc>
                          <w:tcPr>
                            <w:tcW w:w="1418" w:type="dxa"/>
                            <w:vAlign w:val="center"/>
                          </w:tcPr>
                          <w:p w14:paraId="318F3F04" w14:textId="77777777" w:rsidR="00390062" w:rsidRPr="00E156F3" w:rsidRDefault="00390062" w:rsidP="00491F1B">
                            <w:pPr>
                              <w:jc w:val="left"/>
                              <w:rPr>
                                <w:vanish/>
                                <w:sz w:val="18"/>
                              </w:rPr>
                            </w:pPr>
                          </w:p>
                        </w:tc>
                        <w:tc>
                          <w:tcPr>
                            <w:tcW w:w="1417" w:type="dxa"/>
                            <w:vAlign w:val="center"/>
                          </w:tcPr>
                          <w:p w14:paraId="5F713925" w14:textId="75AD76A0" w:rsidR="00390062" w:rsidRPr="00E156F3" w:rsidRDefault="00390062" w:rsidP="00491F1B">
                            <w:pPr>
                              <w:jc w:val="left"/>
                              <w:rPr>
                                <w:vanish/>
                                <w:sz w:val="18"/>
                              </w:rPr>
                            </w:pPr>
                            <w:r>
                              <w:rPr>
                                <w:vanish/>
                                <w:sz w:val="18"/>
                              </w:rPr>
                              <w:t>15/07/2004</w:t>
                            </w:r>
                          </w:p>
                        </w:tc>
                        <w:tc>
                          <w:tcPr>
                            <w:tcW w:w="3697" w:type="dxa"/>
                            <w:vAlign w:val="center"/>
                          </w:tcPr>
                          <w:p w14:paraId="15AA1F3B" w14:textId="77777777" w:rsidR="00390062" w:rsidRPr="00E156F3" w:rsidRDefault="00390062" w:rsidP="00491F1B">
                            <w:pPr>
                              <w:jc w:val="left"/>
                              <w:rPr>
                                <w:vanish/>
                                <w:sz w:val="18"/>
                              </w:rPr>
                            </w:pPr>
                          </w:p>
                        </w:tc>
                      </w:tr>
                    </w:tbl>
                    <w:p w14:paraId="05243E97" w14:textId="77777777" w:rsidR="00DC6BE6" w:rsidRDefault="00DC6BE6"/>
                  </w:txbxContent>
                </v:textbox>
                <w10:wrap type="square" anchory="page"/>
                <w10:anchorlock/>
              </v:shape>
            </w:pict>
          </mc:Fallback>
        </mc:AlternateContent>
      </w:r>
    </w:p>
    <w:p w14:paraId="71FE07DE" w14:textId="77777777" w:rsidR="00E156F3" w:rsidRPr="00076EB7" w:rsidRDefault="00E156F3" w:rsidP="00E640D0">
      <w:pPr>
        <w:tabs>
          <w:tab w:val="left" w:pos="2570"/>
        </w:tabs>
        <w:rPr>
          <w:rFonts w:eastAsia="Times New Roman" w:cs="Times New Roman"/>
          <w:lang w:val="fr-BE"/>
        </w:rPr>
      </w:pPr>
    </w:p>
    <w:p w14:paraId="3980B999" w14:textId="77777777" w:rsidR="00E156F3" w:rsidRPr="00076EB7" w:rsidRDefault="00E156F3" w:rsidP="00E640D0">
      <w:pPr>
        <w:tabs>
          <w:tab w:val="left" w:pos="2570"/>
        </w:tabs>
        <w:rPr>
          <w:rFonts w:eastAsia="Times New Roman" w:cs="Times New Roman"/>
          <w:lang w:val="fr-BE"/>
        </w:rPr>
      </w:pPr>
    </w:p>
    <w:p w14:paraId="1A5CF66E" w14:textId="77777777" w:rsidR="00E156F3" w:rsidRPr="00076EB7" w:rsidRDefault="00E156F3" w:rsidP="00E640D0">
      <w:pPr>
        <w:tabs>
          <w:tab w:val="left" w:pos="2570"/>
        </w:tabs>
        <w:rPr>
          <w:rFonts w:eastAsia="Times New Roman" w:cs="Times New Roman"/>
          <w:lang w:val="fr-BE"/>
        </w:rPr>
      </w:pPr>
    </w:p>
    <w:p w14:paraId="7B669740" w14:textId="77777777" w:rsidR="00076EB7" w:rsidRPr="00076EB7" w:rsidRDefault="00076EB7" w:rsidP="00E640D0">
      <w:pPr>
        <w:tabs>
          <w:tab w:val="left" w:pos="2570"/>
        </w:tabs>
        <w:rPr>
          <w:rFonts w:eastAsia="Times New Roman" w:cs="Times New Roman"/>
          <w:lang w:val="fr-BE"/>
        </w:rPr>
      </w:pPr>
      <w:r w:rsidRPr="00076EB7">
        <w:rPr>
          <w:rFonts w:eastAsia="Times New Roman" w:cs="Times New Roman"/>
          <w:lang w:val="fr-BE"/>
        </w:rPr>
        <w:br w:type="page"/>
      </w:r>
      <w:bookmarkStart w:id="2" w:name="_GoBack"/>
      <w:bookmarkEnd w:id="2"/>
    </w:p>
    <w:p w14:paraId="29C5626B" w14:textId="77777777" w:rsidR="00076EB7" w:rsidRPr="00076EB7" w:rsidRDefault="00076EB7" w:rsidP="00076EB7">
      <w:pPr>
        <w:pStyle w:val="Kop1"/>
        <w:rPr>
          <w:lang w:val="fr-BE"/>
        </w:rPr>
      </w:pPr>
      <w:bookmarkStart w:id="3" w:name="_Toc159917810"/>
      <w:bookmarkStart w:id="4" w:name="_Toc159924463"/>
      <w:bookmarkStart w:id="5" w:name="_Toc27564372"/>
      <w:r w:rsidRPr="00076EB7">
        <w:rPr>
          <w:lang w:val="fr-BE"/>
        </w:rPr>
        <w:lastRenderedPageBreak/>
        <w:t>Objectif</w:t>
      </w:r>
      <w:bookmarkEnd w:id="3"/>
      <w:bookmarkEnd w:id="4"/>
      <w:bookmarkEnd w:id="5"/>
    </w:p>
    <w:p w14:paraId="145D7991" w14:textId="77777777" w:rsidR="00076EB7" w:rsidRPr="00076EB7" w:rsidRDefault="00076EB7" w:rsidP="00076EB7">
      <w:pPr>
        <w:pStyle w:val="BOFAS-standaardtekst"/>
        <w:rPr>
          <w:lang w:val="fr-BE"/>
        </w:rPr>
      </w:pPr>
    </w:p>
    <w:p w14:paraId="610D6938" w14:textId="77777777" w:rsidR="00076EB7" w:rsidRPr="00076EB7" w:rsidRDefault="00076EB7" w:rsidP="00076EB7">
      <w:pPr>
        <w:pStyle w:val="BOFAS-standaardtekst"/>
        <w:rPr>
          <w:lang w:val="fr-BE"/>
        </w:rPr>
      </w:pPr>
      <w:r w:rsidRPr="00076EB7">
        <w:rPr>
          <w:lang w:val="fr-BE"/>
        </w:rPr>
        <w:t xml:space="preserve">La présente procédure décrit l’utilisation et l’entretien des appareils de détection mobiles de gaz qui sont utilisés pendant l’exécution d’études et de travaux d’assainissement du sol pour BOFAS. </w:t>
      </w:r>
    </w:p>
    <w:p w14:paraId="5A8A765D" w14:textId="77777777" w:rsidR="00076EB7" w:rsidRPr="00076EB7" w:rsidRDefault="00076EB7" w:rsidP="00076EB7">
      <w:pPr>
        <w:pStyle w:val="BOFAS-standaardtekst"/>
        <w:rPr>
          <w:b/>
          <w:lang w:val="fr-BE"/>
        </w:rPr>
      </w:pPr>
    </w:p>
    <w:p w14:paraId="0CEBB2A4" w14:textId="77777777" w:rsidR="00076EB7" w:rsidRPr="00076EB7" w:rsidRDefault="00076EB7" w:rsidP="00076EB7">
      <w:pPr>
        <w:pStyle w:val="BOFAS-standaardtekst"/>
        <w:rPr>
          <w:b/>
          <w:lang w:val="fr-BE"/>
        </w:rPr>
      </w:pPr>
    </w:p>
    <w:p w14:paraId="493103C9" w14:textId="77777777" w:rsidR="00076EB7" w:rsidRPr="00076EB7" w:rsidRDefault="00076EB7" w:rsidP="00076EB7">
      <w:pPr>
        <w:pStyle w:val="Kop1"/>
        <w:rPr>
          <w:lang w:val="fr-BE"/>
        </w:rPr>
      </w:pPr>
      <w:bookmarkStart w:id="6" w:name="_Toc159917811"/>
      <w:bookmarkStart w:id="7" w:name="_Toc159924464"/>
      <w:bookmarkStart w:id="8" w:name="_Toc27564373"/>
      <w:r w:rsidRPr="00076EB7">
        <w:rPr>
          <w:lang w:val="fr-BE"/>
        </w:rPr>
        <w:t>Champ d’application</w:t>
      </w:r>
      <w:bookmarkEnd w:id="6"/>
      <w:bookmarkEnd w:id="7"/>
      <w:bookmarkEnd w:id="8"/>
    </w:p>
    <w:p w14:paraId="786B176C" w14:textId="77777777" w:rsidR="00076EB7" w:rsidRPr="00076EB7" w:rsidRDefault="00076EB7" w:rsidP="00076EB7">
      <w:pPr>
        <w:pStyle w:val="BOFAS-standaardtekst"/>
        <w:rPr>
          <w:lang w:val="fr-BE"/>
        </w:rPr>
      </w:pPr>
    </w:p>
    <w:p w14:paraId="3F6E8F88" w14:textId="77777777" w:rsidR="00076EB7" w:rsidRPr="00076EB7" w:rsidRDefault="00076EB7" w:rsidP="00076EB7">
      <w:pPr>
        <w:pStyle w:val="BOFAS-standaardtekst"/>
        <w:rPr>
          <w:lang w:val="fr-BE"/>
        </w:rPr>
      </w:pPr>
      <w:r w:rsidRPr="00076EB7">
        <w:rPr>
          <w:lang w:val="fr-BE"/>
        </w:rPr>
        <w:t>Cette procédure s’applique sur tous les appareils de détection mobiles de gaz et leurs utilisateurs mandatés par BOFAS.</w:t>
      </w:r>
    </w:p>
    <w:p w14:paraId="0F8533A5" w14:textId="77777777" w:rsidR="00076EB7" w:rsidRPr="00076EB7" w:rsidRDefault="00076EB7" w:rsidP="00076EB7">
      <w:pPr>
        <w:pStyle w:val="BOFAS-standaardtekst"/>
        <w:rPr>
          <w:lang w:val="fr-BE"/>
        </w:rPr>
      </w:pPr>
    </w:p>
    <w:p w14:paraId="041AEF40" w14:textId="148E6E31" w:rsidR="00076EB7" w:rsidRPr="00076EB7" w:rsidRDefault="00076EB7" w:rsidP="00076EB7">
      <w:pPr>
        <w:pStyle w:val="BOFAS-standaardtekst"/>
        <w:rPr>
          <w:rFonts w:eastAsia="SimSun"/>
          <w:lang w:val="fr-BE"/>
        </w:rPr>
      </w:pPr>
      <w:r w:rsidRPr="00076EB7">
        <w:rPr>
          <w:lang w:val="fr-BE"/>
        </w:rPr>
        <w:t xml:space="preserve">Les appareils de détection mobiles de gaz (explosimètres et/ou </w:t>
      </w:r>
      <w:r w:rsidR="00C03B33" w:rsidRPr="00076EB7">
        <w:rPr>
          <w:lang w:val="fr-BE"/>
        </w:rPr>
        <w:t>oxygénomètres</w:t>
      </w:r>
      <w:r w:rsidRPr="00076EB7">
        <w:rPr>
          <w:lang w:val="fr-BE"/>
        </w:rPr>
        <w:t>) seront principalement utilisés pour garantir la sécurité dans les espaces confinés</w:t>
      </w:r>
      <w:r w:rsidRPr="00076EB7">
        <w:rPr>
          <w:rFonts w:eastAsia="SimSun"/>
          <w:lang w:val="fr-BE"/>
        </w:rPr>
        <w:t>.</w:t>
      </w:r>
    </w:p>
    <w:p w14:paraId="18592778" w14:textId="77777777" w:rsidR="00076EB7" w:rsidRPr="00076EB7" w:rsidRDefault="00076EB7" w:rsidP="00076EB7">
      <w:pPr>
        <w:pStyle w:val="BOFAS-standaardtekst"/>
        <w:rPr>
          <w:rFonts w:eastAsia="SimSun"/>
          <w:lang w:val="fr-BE"/>
        </w:rPr>
      </w:pPr>
    </w:p>
    <w:p w14:paraId="2F4BE96E" w14:textId="77777777" w:rsidR="00076EB7" w:rsidRPr="00076EB7" w:rsidRDefault="00076EB7" w:rsidP="00076EB7">
      <w:pPr>
        <w:pStyle w:val="BOFAS-standaardtekst"/>
        <w:rPr>
          <w:rFonts w:eastAsia="SimSun"/>
          <w:lang w:val="fr-BE"/>
        </w:rPr>
      </w:pPr>
      <w:r w:rsidRPr="00076EB7">
        <w:rPr>
          <w:rFonts w:eastAsia="SimSun"/>
          <w:lang w:val="fr-BE"/>
        </w:rPr>
        <w:t xml:space="preserve">Les détecteurs de gaz seront utilisés principalement au poste de travail (ambiance professionnelle) </w:t>
      </w:r>
    </w:p>
    <w:p w14:paraId="0E46FBB4" w14:textId="77777777" w:rsidR="00076EB7" w:rsidRPr="00076EB7" w:rsidRDefault="00076EB7" w:rsidP="00076EB7">
      <w:pPr>
        <w:pStyle w:val="BOFAS-standaardtekst"/>
        <w:rPr>
          <w:rFonts w:eastAsia="SimSun"/>
          <w:lang w:val="fr-BE"/>
        </w:rPr>
      </w:pPr>
    </w:p>
    <w:p w14:paraId="5432DA97" w14:textId="77777777" w:rsidR="00076EB7" w:rsidRPr="00076EB7" w:rsidRDefault="00076EB7" w:rsidP="00076EB7">
      <w:pPr>
        <w:pStyle w:val="BOFAS-standaardtekst"/>
        <w:rPr>
          <w:rFonts w:eastAsia="SimSun"/>
          <w:lang w:val="fr-BE"/>
        </w:rPr>
      </w:pPr>
      <w:r w:rsidRPr="00076EB7">
        <w:rPr>
          <w:rFonts w:eastAsia="SimSun"/>
          <w:lang w:val="fr-BE"/>
        </w:rPr>
        <w:t>Liste non limitative d’applications:</w:t>
      </w:r>
    </w:p>
    <w:p w14:paraId="3DF8C785" w14:textId="77777777" w:rsidR="00076EB7" w:rsidRPr="00076EB7" w:rsidRDefault="00076EB7" w:rsidP="00076EB7">
      <w:pPr>
        <w:pStyle w:val="Bloktekst"/>
        <w:numPr>
          <w:ilvl w:val="0"/>
          <w:numId w:val="18"/>
        </w:numPr>
        <w:tabs>
          <w:tab w:val="left" w:pos="2835"/>
        </w:tabs>
        <w:ind w:right="0"/>
        <w:rPr>
          <w:rFonts w:ascii="Trebuchet MS" w:hAnsi="Trebuchet MS"/>
          <w:sz w:val="22"/>
          <w:szCs w:val="22"/>
          <w:lang w:val="fr-BE"/>
        </w:rPr>
      </w:pPr>
      <w:r w:rsidRPr="00076EB7">
        <w:rPr>
          <w:rFonts w:ascii="Trebuchet MS" w:hAnsi="Trebuchet MS"/>
          <w:sz w:val="22"/>
          <w:szCs w:val="22"/>
          <w:lang w:val="fr-BE"/>
        </w:rPr>
        <w:t>Pollution de l’air, détection de gaz toxiques;</w:t>
      </w:r>
    </w:p>
    <w:p w14:paraId="0C0B0C0A" w14:textId="77777777" w:rsidR="00076EB7" w:rsidRPr="00076EB7" w:rsidRDefault="00076EB7" w:rsidP="00076EB7">
      <w:pPr>
        <w:pStyle w:val="Bloktekst"/>
        <w:numPr>
          <w:ilvl w:val="0"/>
          <w:numId w:val="18"/>
        </w:numPr>
        <w:tabs>
          <w:tab w:val="left" w:pos="2835"/>
        </w:tabs>
        <w:ind w:right="0"/>
        <w:rPr>
          <w:rFonts w:ascii="Trebuchet MS" w:hAnsi="Trebuchet MS"/>
          <w:sz w:val="22"/>
          <w:szCs w:val="22"/>
          <w:lang w:val="fr-BE"/>
        </w:rPr>
      </w:pPr>
      <w:r w:rsidRPr="00076EB7">
        <w:rPr>
          <w:rFonts w:ascii="Trebuchet MS" w:hAnsi="Trebuchet MS"/>
          <w:sz w:val="22"/>
          <w:szCs w:val="22"/>
          <w:lang w:val="fr-BE"/>
        </w:rPr>
        <w:t>Etudes de l’atmosphère des citernes et de leur environnement;</w:t>
      </w:r>
    </w:p>
    <w:p w14:paraId="1ED9A37E" w14:textId="77777777" w:rsidR="00076EB7" w:rsidRPr="00076EB7" w:rsidRDefault="00076EB7" w:rsidP="00076EB7">
      <w:pPr>
        <w:pStyle w:val="Bloktekst"/>
        <w:numPr>
          <w:ilvl w:val="0"/>
          <w:numId w:val="18"/>
        </w:numPr>
        <w:tabs>
          <w:tab w:val="left" w:pos="2835"/>
        </w:tabs>
        <w:ind w:right="0"/>
        <w:rPr>
          <w:rFonts w:ascii="Trebuchet MS" w:hAnsi="Trebuchet MS"/>
          <w:sz w:val="22"/>
          <w:szCs w:val="22"/>
          <w:lang w:val="fr-BE"/>
        </w:rPr>
      </w:pPr>
      <w:r w:rsidRPr="00076EB7">
        <w:rPr>
          <w:rFonts w:ascii="Trebuchet MS" w:hAnsi="Trebuchet MS"/>
          <w:sz w:val="22"/>
          <w:szCs w:val="22"/>
          <w:lang w:val="fr-BE"/>
        </w:rPr>
        <w:t xml:space="preserve">Analyses du sol, des puits (y compris excavation) et de la surface d’eau; </w:t>
      </w:r>
    </w:p>
    <w:p w14:paraId="1E61D3AB" w14:textId="69443B41" w:rsidR="00076EB7" w:rsidRPr="00076EB7" w:rsidRDefault="00076EB7" w:rsidP="00076EB7">
      <w:pPr>
        <w:pStyle w:val="Bloktekst"/>
        <w:numPr>
          <w:ilvl w:val="0"/>
          <w:numId w:val="18"/>
        </w:numPr>
        <w:tabs>
          <w:tab w:val="left" w:pos="2835"/>
        </w:tabs>
        <w:ind w:right="0"/>
        <w:rPr>
          <w:rFonts w:ascii="Trebuchet MS" w:hAnsi="Trebuchet MS"/>
          <w:sz w:val="22"/>
          <w:szCs w:val="22"/>
          <w:lang w:val="fr-BE"/>
        </w:rPr>
      </w:pPr>
      <w:r w:rsidRPr="00076EB7">
        <w:rPr>
          <w:rFonts w:ascii="Trebuchet MS" w:hAnsi="Trebuchet MS"/>
          <w:sz w:val="22"/>
          <w:szCs w:val="22"/>
          <w:lang w:val="fr-BE"/>
        </w:rPr>
        <w:t>Accès aux espaces confinés</w:t>
      </w:r>
      <w:r w:rsidR="00513457">
        <w:rPr>
          <w:rFonts w:ascii="Trebuchet MS" w:hAnsi="Trebuchet MS"/>
          <w:sz w:val="22"/>
          <w:szCs w:val="22"/>
          <w:lang w:val="fr-BE"/>
        </w:rPr>
        <w:t> :</w:t>
      </w:r>
      <w:r w:rsidRPr="00076EB7">
        <w:rPr>
          <w:rFonts w:ascii="Trebuchet MS" w:hAnsi="Trebuchet MS"/>
          <w:sz w:val="22"/>
          <w:szCs w:val="22"/>
          <w:lang w:val="fr-BE"/>
        </w:rPr>
        <w:t xml:space="preserve"> citernes, égouts et trous d’homme;</w:t>
      </w:r>
    </w:p>
    <w:p w14:paraId="2A02181F" w14:textId="77777777" w:rsidR="00076EB7" w:rsidRPr="00076EB7" w:rsidRDefault="00076EB7" w:rsidP="00076EB7">
      <w:pPr>
        <w:pStyle w:val="Bloktekst"/>
        <w:numPr>
          <w:ilvl w:val="0"/>
          <w:numId w:val="18"/>
        </w:numPr>
        <w:tabs>
          <w:tab w:val="left" w:pos="2835"/>
        </w:tabs>
        <w:ind w:right="0"/>
        <w:rPr>
          <w:rFonts w:ascii="Trebuchet MS" w:hAnsi="Trebuchet MS"/>
          <w:sz w:val="22"/>
          <w:szCs w:val="22"/>
          <w:lang w:val="fr-BE"/>
        </w:rPr>
      </w:pPr>
      <w:r w:rsidRPr="00076EB7">
        <w:rPr>
          <w:rFonts w:ascii="Trebuchet MS" w:hAnsi="Trebuchet MS"/>
          <w:sz w:val="22"/>
          <w:szCs w:val="22"/>
          <w:lang w:val="fr-BE"/>
        </w:rPr>
        <w:t>Réaction rapide en cas de fuites dangereuses;</w:t>
      </w:r>
    </w:p>
    <w:p w14:paraId="2D641E4D" w14:textId="77777777" w:rsidR="00076EB7" w:rsidRPr="00076EB7" w:rsidRDefault="00076EB7" w:rsidP="00076EB7">
      <w:pPr>
        <w:pStyle w:val="Bloktekst"/>
        <w:numPr>
          <w:ilvl w:val="0"/>
          <w:numId w:val="18"/>
        </w:numPr>
        <w:tabs>
          <w:tab w:val="left" w:pos="2835"/>
        </w:tabs>
        <w:ind w:right="0"/>
        <w:rPr>
          <w:rFonts w:ascii="Trebuchet MS" w:hAnsi="Trebuchet MS"/>
          <w:sz w:val="22"/>
          <w:szCs w:val="22"/>
          <w:lang w:val="fr-BE"/>
        </w:rPr>
      </w:pPr>
      <w:r w:rsidRPr="00076EB7">
        <w:rPr>
          <w:rFonts w:ascii="Trebuchet MS" w:hAnsi="Trebuchet MS"/>
          <w:sz w:val="22"/>
          <w:szCs w:val="22"/>
          <w:lang w:val="fr-BE"/>
        </w:rPr>
        <w:t>Qualité de l’air ambiant;</w:t>
      </w:r>
    </w:p>
    <w:p w14:paraId="74EB3CEC" w14:textId="77777777" w:rsidR="00076EB7" w:rsidRPr="00076EB7" w:rsidRDefault="00076EB7" w:rsidP="00076EB7">
      <w:pPr>
        <w:pStyle w:val="Bloktekst"/>
        <w:numPr>
          <w:ilvl w:val="0"/>
          <w:numId w:val="18"/>
        </w:numPr>
        <w:tabs>
          <w:tab w:val="left" w:pos="2835"/>
        </w:tabs>
        <w:ind w:right="0"/>
        <w:rPr>
          <w:rFonts w:ascii="Trebuchet MS" w:hAnsi="Trebuchet MS"/>
          <w:sz w:val="22"/>
          <w:szCs w:val="22"/>
          <w:lang w:val="fr-BE"/>
        </w:rPr>
      </w:pPr>
      <w:r w:rsidRPr="00076EB7">
        <w:rPr>
          <w:rFonts w:ascii="Trebuchet MS" w:hAnsi="Trebuchet MS"/>
          <w:sz w:val="22"/>
          <w:szCs w:val="22"/>
          <w:lang w:val="fr-BE"/>
        </w:rPr>
        <w:t>Sécurité du personnel, fixation de niveaux de protection du personnel;</w:t>
      </w:r>
    </w:p>
    <w:p w14:paraId="7F8D187A" w14:textId="77777777" w:rsidR="00076EB7" w:rsidRPr="00076EB7" w:rsidRDefault="00076EB7" w:rsidP="00076EB7">
      <w:pPr>
        <w:pStyle w:val="Bloktekst"/>
        <w:numPr>
          <w:ilvl w:val="0"/>
          <w:numId w:val="18"/>
        </w:numPr>
        <w:tabs>
          <w:tab w:val="left" w:pos="2835"/>
        </w:tabs>
        <w:ind w:right="0"/>
        <w:rPr>
          <w:rFonts w:ascii="Trebuchet MS" w:hAnsi="Trebuchet MS"/>
          <w:sz w:val="22"/>
          <w:szCs w:val="22"/>
          <w:lang w:val="fr-BE"/>
        </w:rPr>
      </w:pPr>
      <w:r w:rsidRPr="00076EB7">
        <w:rPr>
          <w:rFonts w:ascii="Trebuchet MS" w:hAnsi="Trebuchet MS"/>
          <w:sz w:val="22"/>
          <w:szCs w:val="22"/>
          <w:lang w:val="fr-BE"/>
        </w:rPr>
        <w:t>Instrument d’études, détermination de l’indice de priorité des échantillons;</w:t>
      </w:r>
    </w:p>
    <w:p w14:paraId="62F0EC24" w14:textId="42AD32DB" w:rsidR="00076EB7" w:rsidRPr="00076EB7" w:rsidRDefault="001F2960" w:rsidP="00076EB7">
      <w:pPr>
        <w:pStyle w:val="Bloktekst"/>
        <w:numPr>
          <w:ilvl w:val="0"/>
          <w:numId w:val="18"/>
        </w:numPr>
        <w:tabs>
          <w:tab w:val="left" w:pos="2835"/>
        </w:tabs>
        <w:ind w:right="0"/>
        <w:rPr>
          <w:rFonts w:ascii="Trebuchet MS" w:hAnsi="Trebuchet MS"/>
          <w:sz w:val="22"/>
          <w:szCs w:val="22"/>
          <w:lang w:val="fr-BE"/>
        </w:rPr>
      </w:pPr>
      <w:r>
        <w:rPr>
          <w:rFonts w:ascii="Trebuchet MS" w:hAnsi="Trebuchet MS"/>
          <w:sz w:val="22"/>
          <w:szCs w:val="22"/>
          <w:lang w:val="fr-BE"/>
        </w:rPr>
        <w:t>Mesures de chantier</w:t>
      </w:r>
      <w:r w:rsidR="00076EB7" w:rsidRPr="00076EB7">
        <w:rPr>
          <w:rFonts w:ascii="Trebuchet MS" w:hAnsi="Trebuchet MS"/>
          <w:sz w:val="22"/>
          <w:szCs w:val="22"/>
          <w:lang w:val="fr-BE"/>
        </w:rPr>
        <w:t xml:space="preserve">, valeurs à court terme (15 min.) et valeurs limites (mesuré ou calculé pour une période de référence de 8 heures, moyenne pondéré en fonction du temps), </w:t>
      </w:r>
      <w:r w:rsidR="000F6A58" w:rsidRPr="00076EB7">
        <w:rPr>
          <w:rFonts w:ascii="Trebuchet MS" w:hAnsi="Trebuchet MS"/>
          <w:sz w:val="22"/>
          <w:szCs w:val="22"/>
          <w:lang w:val="fr-BE"/>
        </w:rPr>
        <w:t>conforme</w:t>
      </w:r>
      <w:r w:rsidR="00076EB7" w:rsidRPr="00076EB7">
        <w:rPr>
          <w:rFonts w:ascii="Trebuchet MS" w:hAnsi="Trebuchet MS"/>
          <w:sz w:val="22"/>
          <w:szCs w:val="22"/>
          <w:lang w:val="fr-BE"/>
        </w:rPr>
        <w:t xml:space="preserve"> aux Codex pour le bien-être sur le travail Livre VI, chapitre X et annexe VI.1-1; </w:t>
      </w:r>
    </w:p>
    <w:p w14:paraId="4FA0099A" w14:textId="77777777" w:rsidR="00076EB7" w:rsidRPr="00076EB7" w:rsidRDefault="00076EB7" w:rsidP="00076EB7">
      <w:pPr>
        <w:pStyle w:val="Bloktekst"/>
        <w:numPr>
          <w:ilvl w:val="0"/>
          <w:numId w:val="18"/>
        </w:numPr>
        <w:tabs>
          <w:tab w:val="left" w:pos="2835"/>
        </w:tabs>
        <w:ind w:right="0"/>
        <w:rPr>
          <w:rFonts w:ascii="Trebuchet MS" w:hAnsi="Trebuchet MS"/>
          <w:sz w:val="22"/>
          <w:szCs w:val="22"/>
          <w:lang w:val="fr-BE"/>
        </w:rPr>
      </w:pPr>
      <w:r w:rsidRPr="00076EB7">
        <w:rPr>
          <w:rFonts w:ascii="Trebuchet MS" w:hAnsi="Trebuchet MS"/>
          <w:sz w:val="22"/>
          <w:szCs w:val="22"/>
          <w:lang w:val="fr-BE"/>
        </w:rPr>
        <w:t>Assainissement du sol;</w:t>
      </w:r>
    </w:p>
    <w:p w14:paraId="499D41B2" w14:textId="77777777" w:rsidR="00076EB7" w:rsidRPr="00076EB7" w:rsidRDefault="00076EB7" w:rsidP="00076EB7">
      <w:pPr>
        <w:pStyle w:val="Bloktekst"/>
        <w:numPr>
          <w:ilvl w:val="0"/>
          <w:numId w:val="18"/>
        </w:numPr>
        <w:tabs>
          <w:tab w:val="left" w:pos="2835"/>
        </w:tabs>
        <w:ind w:right="0"/>
        <w:rPr>
          <w:rFonts w:ascii="Trebuchet MS" w:hAnsi="Trebuchet MS"/>
          <w:sz w:val="22"/>
          <w:szCs w:val="22"/>
          <w:lang w:val="fr-BE"/>
        </w:rPr>
      </w:pPr>
      <w:r w:rsidRPr="00076EB7">
        <w:rPr>
          <w:rFonts w:ascii="Trebuchet MS" w:hAnsi="Trebuchet MS"/>
          <w:sz w:val="22"/>
          <w:szCs w:val="22"/>
          <w:lang w:val="fr-BE"/>
        </w:rPr>
        <w:t>Installations de purification d’eau et d’air.</w:t>
      </w:r>
    </w:p>
    <w:p w14:paraId="30EE20F5" w14:textId="77777777" w:rsidR="00076EB7" w:rsidRPr="00076EB7" w:rsidRDefault="00076EB7" w:rsidP="00076EB7">
      <w:pPr>
        <w:rPr>
          <w:rFonts w:eastAsia="SimSun"/>
          <w:lang w:val="fr-BE"/>
        </w:rPr>
      </w:pPr>
    </w:p>
    <w:p w14:paraId="3A7321EF" w14:textId="77777777" w:rsidR="00076EB7" w:rsidRPr="00076EB7" w:rsidRDefault="00076EB7" w:rsidP="00076EB7">
      <w:pPr>
        <w:rPr>
          <w:b/>
          <w:lang w:val="fr-BE"/>
        </w:rPr>
      </w:pPr>
    </w:p>
    <w:p w14:paraId="6DE999E0" w14:textId="77777777" w:rsidR="00076EB7" w:rsidRPr="00076EB7" w:rsidRDefault="00076EB7" w:rsidP="00076EB7">
      <w:pPr>
        <w:pStyle w:val="Kop1"/>
        <w:rPr>
          <w:lang w:val="fr-BE"/>
        </w:rPr>
      </w:pPr>
      <w:bookmarkStart w:id="9" w:name="_Toc159917812"/>
      <w:bookmarkStart w:id="10" w:name="_Toc159924465"/>
      <w:bookmarkStart w:id="11" w:name="_Toc27564374"/>
      <w:r w:rsidRPr="00076EB7">
        <w:rPr>
          <w:lang w:val="fr-BE"/>
        </w:rPr>
        <w:t>Définitions</w:t>
      </w:r>
      <w:bookmarkEnd w:id="9"/>
      <w:bookmarkEnd w:id="10"/>
      <w:bookmarkEnd w:id="11"/>
    </w:p>
    <w:p w14:paraId="35C10E3A" w14:textId="77777777" w:rsidR="00076EB7" w:rsidRPr="00076EB7" w:rsidRDefault="00076EB7" w:rsidP="00076EB7">
      <w:pPr>
        <w:pStyle w:val="BOFAS-standaardtekst"/>
        <w:rPr>
          <w:lang w:val="fr-BE"/>
        </w:rPr>
      </w:pPr>
    </w:p>
    <w:p w14:paraId="4A4B979E" w14:textId="38A446A5" w:rsidR="00076EB7" w:rsidRPr="00076EB7" w:rsidRDefault="00076EB7" w:rsidP="00076EB7">
      <w:pPr>
        <w:pStyle w:val="BOFAS-standaardtekst"/>
        <w:rPr>
          <w:lang w:val="fr-BE"/>
        </w:rPr>
      </w:pPr>
      <w:r w:rsidRPr="00076EB7">
        <w:rPr>
          <w:lang w:val="fr-BE"/>
        </w:rPr>
        <w:t>Les détecteurs de gaz et ou explosimètres peuvent être utilisés tant à la source (</w:t>
      </w:r>
      <w:r w:rsidR="00513457">
        <w:rPr>
          <w:lang w:val="fr-BE"/>
        </w:rPr>
        <w:t>p.</w:t>
      </w:r>
      <w:r w:rsidRPr="00076EB7">
        <w:rPr>
          <w:lang w:val="fr-BE"/>
        </w:rPr>
        <w:t>ex</w:t>
      </w:r>
      <w:r w:rsidR="00513457">
        <w:rPr>
          <w:lang w:val="fr-BE"/>
        </w:rPr>
        <w:t>.</w:t>
      </w:r>
      <w:r w:rsidRPr="00076EB7">
        <w:rPr>
          <w:lang w:val="fr-BE"/>
        </w:rPr>
        <w:t xml:space="preserve"> </w:t>
      </w:r>
      <w:r w:rsidR="00513457" w:rsidRPr="00076EB7">
        <w:rPr>
          <w:lang w:val="fr-BE"/>
        </w:rPr>
        <w:t>mesures manuelles</w:t>
      </w:r>
      <w:r w:rsidRPr="00076EB7">
        <w:rPr>
          <w:lang w:val="fr-BE"/>
        </w:rPr>
        <w:t xml:space="preserve"> avec le détecteur à </w:t>
      </w:r>
      <w:r w:rsidR="00C03B33" w:rsidRPr="00076EB7">
        <w:rPr>
          <w:lang w:val="fr-BE"/>
        </w:rPr>
        <w:t>photo ionisation</w:t>
      </w:r>
      <w:r w:rsidRPr="00076EB7">
        <w:rPr>
          <w:lang w:val="fr-BE"/>
        </w:rPr>
        <w:t xml:space="preserve"> - PID) qu’aux limites du terrain (chromatographes gazeux) et dans les environs (mesures sur badge charbon actif) pour:</w:t>
      </w:r>
    </w:p>
    <w:p w14:paraId="51046C5A" w14:textId="77777777" w:rsidR="00076EB7" w:rsidRPr="00076EB7" w:rsidRDefault="00076EB7" w:rsidP="00076EB7">
      <w:pPr>
        <w:pStyle w:val="BOFAS-standaardtekst"/>
        <w:numPr>
          <w:ilvl w:val="0"/>
          <w:numId w:val="19"/>
        </w:numPr>
        <w:rPr>
          <w:lang w:val="fr-BE"/>
        </w:rPr>
      </w:pPr>
      <w:r w:rsidRPr="00076EB7">
        <w:rPr>
          <w:lang w:val="fr-BE"/>
        </w:rPr>
        <w:t>Exécuter des mesures de la qualité de l’air</w:t>
      </w:r>
    </w:p>
    <w:p w14:paraId="31BD9E60" w14:textId="77777777" w:rsidR="00076EB7" w:rsidRPr="00076EB7" w:rsidRDefault="00076EB7" w:rsidP="00076EB7">
      <w:pPr>
        <w:pStyle w:val="BOFAS-standaardtekst"/>
        <w:numPr>
          <w:ilvl w:val="0"/>
          <w:numId w:val="19"/>
        </w:numPr>
        <w:rPr>
          <w:lang w:val="fr-BE"/>
        </w:rPr>
      </w:pPr>
      <w:r w:rsidRPr="00076EB7">
        <w:rPr>
          <w:lang w:val="fr-BE"/>
        </w:rPr>
        <w:t>Contrôler la qualité de l’air et de prendre des mesures à temps.</w:t>
      </w:r>
    </w:p>
    <w:p w14:paraId="52718F02" w14:textId="77777777" w:rsidR="00076EB7" w:rsidRPr="00076EB7" w:rsidRDefault="00076EB7" w:rsidP="00076EB7">
      <w:pPr>
        <w:pStyle w:val="BOFAS-standaardtekst"/>
        <w:rPr>
          <w:lang w:val="fr-BE"/>
        </w:rPr>
      </w:pPr>
    </w:p>
    <w:p w14:paraId="69881A2A" w14:textId="77777777" w:rsidR="00076EB7" w:rsidRPr="00076EB7" w:rsidRDefault="00076EB7" w:rsidP="00076EB7">
      <w:pPr>
        <w:pStyle w:val="BOFAS-standaardtekst"/>
        <w:rPr>
          <w:lang w:val="fr-BE"/>
        </w:rPr>
      </w:pPr>
      <w:bookmarkStart w:id="12" w:name="_Toc159917813"/>
      <w:bookmarkStart w:id="13" w:name="_Toc159924466"/>
      <w:bookmarkEnd w:id="12"/>
      <w:bookmarkEnd w:id="13"/>
    </w:p>
    <w:p w14:paraId="2560A051" w14:textId="77777777" w:rsidR="00076EB7" w:rsidRPr="00076EB7" w:rsidRDefault="00076EB7">
      <w:pPr>
        <w:spacing w:after="200"/>
        <w:jc w:val="left"/>
        <w:rPr>
          <w:rFonts w:eastAsiaTheme="majorEastAsia" w:cstheme="majorBidi"/>
          <w:b/>
          <w:bCs/>
          <w:caps/>
          <w:color w:val="009ADE"/>
          <w:sz w:val="32"/>
          <w:szCs w:val="28"/>
          <w:lang w:val="fr-BE"/>
        </w:rPr>
      </w:pPr>
      <w:r w:rsidRPr="00076EB7">
        <w:rPr>
          <w:lang w:val="fr-BE"/>
        </w:rPr>
        <w:br w:type="page"/>
      </w:r>
    </w:p>
    <w:p w14:paraId="06F2FBDA" w14:textId="77777777" w:rsidR="00076EB7" w:rsidRPr="00076EB7" w:rsidRDefault="00076EB7" w:rsidP="00076EB7">
      <w:pPr>
        <w:pStyle w:val="Kop1"/>
        <w:rPr>
          <w:lang w:val="fr-BE"/>
        </w:rPr>
      </w:pPr>
      <w:bookmarkStart w:id="14" w:name="_Toc159917815"/>
      <w:bookmarkStart w:id="15" w:name="_Toc159924468"/>
      <w:bookmarkStart w:id="16" w:name="_Toc159917816"/>
      <w:bookmarkStart w:id="17" w:name="_Toc159924469"/>
      <w:bookmarkStart w:id="18" w:name="_Toc27564375"/>
      <w:bookmarkEnd w:id="14"/>
      <w:bookmarkEnd w:id="15"/>
      <w:r w:rsidRPr="00076EB7">
        <w:rPr>
          <w:lang w:val="fr-BE"/>
        </w:rPr>
        <w:lastRenderedPageBreak/>
        <w:t>Procédure</w:t>
      </w:r>
      <w:bookmarkEnd w:id="16"/>
      <w:bookmarkEnd w:id="17"/>
      <w:bookmarkEnd w:id="18"/>
    </w:p>
    <w:p w14:paraId="32B4850E" w14:textId="77777777" w:rsidR="00076EB7" w:rsidRPr="00076EB7" w:rsidRDefault="00076EB7" w:rsidP="00076EB7">
      <w:pPr>
        <w:rPr>
          <w:b/>
          <w:lang w:val="fr-BE"/>
        </w:rPr>
      </w:pPr>
    </w:p>
    <w:p w14:paraId="52614007" w14:textId="77777777" w:rsidR="00076EB7" w:rsidRPr="00076EB7" w:rsidRDefault="00076EB7" w:rsidP="00076EB7">
      <w:pPr>
        <w:pStyle w:val="Kop2"/>
        <w:rPr>
          <w:lang w:val="fr-BE"/>
        </w:rPr>
      </w:pPr>
      <w:bookmarkStart w:id="19" w:name="_Toc159917817"/>
      <w:bookmarkStart w:id="20" w:name="_Toc159924470"/>
      <w:bookmarkStart w:id="21" w:name="_Toc27564376"/>
      <w:r w:rsidRPr="00076EB7">
        <w:rPr>
          <w:lang w:val="fr-BE"/>
        </w:rPr>
        <w:t>Introduction</w:t>
      </w:r>
      <w:bookmarkEnd w:id="19"/>
      <w:bookmarkEnd w:id="20"/>
      <w:bookmarkEnd w:id="21"/>
    </w:p>
    <w:p w14:paraId="77E2337E" w14:textId="77777777" w:rsidR="00076EB7" w:rsidRPr="00076EB7" w:rsidRDefault="00076EB7" w:rsidP="00076EB7">
      <w:pPr>
        <w:pStyle w:val="BOFAS-standaardtekst"/>
        <w:rPr>
          <w:lang w:val="fr-BE"/>
        </w:rPr>
      </w:pPr>
    </w:p>
    <w:p w14:paraId="3BDE58A4" w14:textId="77777777" w:rsidR="00076EB7" w:rsidRPr="00076EB7" w:rsidRDefault="00076EB7" w:rsidP="00076EB7">
      <w:pPr>
        <w:pStyle w:val="BOFAS-standaardtekst"/>
        <w:rPr>
          <w:lang w:val="fr-BE"/>
        </w:rPr>
      </w:pPr>
      <w:r w:rsidRPr="00076EB7">
        <w:rPr>
          <w:lang w:val="fr-BE"/>
        </w:rPr>
        <w:t xml:space="preserve">Si, pendant les travaux, il existe un risque aggravé pour le personnel et/ou les environs, il est question de circonstances opérationnelles </w:t>
      </w:r>
      <w:r w:rsidRPr="00076EB7">
        <w:rPr>
          <w:u w:val="single"/>
          <w:lang w:val="fr-BE"/>
        </w:rPr>
        <w:t>particulières</w:t>
      </w:r>
      <w:r w:rsidRPr="00076EB7">
        <w:rPr>
          <w:lang w:val="fr-BE"/>
        </w:rPr>
        <w:t xml:space="preserve">. </w:t>
      </w:r>
    </w:p>
    <w:p w14:paraId="5BFB6CC2" w14:textId="77777777" w:rsidR="00076EB7" w:rsidRPr="00076EB7" w:rsidRDefault="00076EB7" w:rsidP="00076EB7">
      <w:pPr>
        <w:pStyle w:val="BOFAS-standaardtekst"/>
        <w:rPr>
          <w:lang w:val="fr-BE"/>
        </w:rPr>
      </w:pPr>
    </w:p>
    <w:p w14:paraId="57883EDE" w14:textId="1EC57780" w:rsidR="00076EB7" w:rsidRPr="00076EB7" w:rsidRDefault="00076EB7" w:rsidP="00076EB7">
      <w:pPr>
        <w:pStyle w:val="BOFAS-standaardtekst"/>
        <w:rPr>
          <w:lang w:val="fr-BE"/>
        </w:rPr>
      </w:pPr>
      <w:r w:rsidRPr="00076EB7">
        <w:rPr>
          <w:lang w:val="fr-BE"/>
        </w:rPr>
        <w:t>Il est légalement obligatoire d’exécuter des mesures, par exemples d’oxygène</w:t>
      </w:r>
      <w:r w:rsidR="00513457">
        <w:rPr>
          <w:lang w:val="fr-BE"/>
        </w:rPr>
        <w:t xml:space="preserve"> et</w:t>
      </w:r>
      <w:r w:rsidRPr="00076EB7">
        <w:rPr>
          <w:lang w:val="fr-BE"/>
        </w:rPr>
        <w:t xml:space="preserve"> de gaz toxiques, dans des espaces confinés afin de garantir la sécurité au travail. Ceci est par exemple le cas s’il y a danger d’asphyxie, d’empoisonnement, d’incendie et d’explosion.  Il s’agit d’une partie de l’inventaire des risques. Les employés ont le droit de travailler dans un environnement sécurisé. </w:t>
      </w:r>
    </w:p>
    <w:p w14:paraId="20E0B62C" w14:textId="77777777" w:rsidR="00076EB7" w:rsidRPr="00076EB7" w:rsidRDefault="00076EB7" w:rsidP="00076EB7">
      <w:pPr>
        <w:pStyle w:val="BOFAS-standaardtekst"/>
        <w:rPr>
          <w:lang w:val="fr-BE"/>
        </w:rPr>
      </w:pPr>
    </w:p>
    <w:p w14:paraId="67B9828F" w14:textId="77777777" w:rsidR="00076EB7" w:rsidRPr="00076EB7" w:rsidRDefault="00076EB7" w:rsidP="00076EB7">
      <w:pPr>
        <w:pStyle w:val="BOFAS-standaardtekst"/>
        <w:rPr>
          <w:lang w:val="fr-BE"/>
        </w:rPr>
      </w:pPr>
      <w:r w:rsidRPr="00076EB7">
        <w:rPr>
          <w:lang w:val="fr-BE"/>
        </w:rPr>
        <w:t>Autres sources possibles de gaz nocifs (toxiques):</w:t>
      </w:r>
    </w:p>
    <w:p w14:paraId="52D29A37" w14:textId="77777777" w:rsidR="00076EB7" w:rsidRPr="00076EB7" w:rsidRDefault="00076EB7" w:rsidP="00076EB7">
      <w:pPr>
        <w:pStyle w:val="BOFAS-standaardtekst"/>
        <w:rPr>
          <w:lang w:val="fr-BE"/>
        </w:rPr>
      </w:pPr>
      <w:r w:rsidRPr="00076EB7">
        <w:rPr>
          <w:lang w:val="fr-BE"/>
        </w:rPr>
        <w:t>Il peut se libérer du sol des sites où BOFAS doit réaliser des travaux, des substances volatiles comme l</w:t>
      </w:r>
      <w:r w:rsidR="000F6A58">
        <w:rPr>
          <w:lang w:val="fr-BE"/>
        </w:rPr>
        <w:t>es BTEX (</w:t>
      </w:r>
      <w:r w:rsidRPr="00076EB7">
        <w:rPr>
          <w:lang w:val="fr-BE"/>
        </w:rPr>
        <w:t>benzène</w:t>
      </w:r>
      <w:r w:rsidR="000F6A58">
        <w:rPr>
          <w:lang w:val="fr-BE"/>
        </w:rPr>
        <w:t>, toluène, éthylbenzène, xylène</w:t>
      </w:r>
      <w:r w:rsidRPr="00076EB7">
        <w:rPr>
          <w:lang w:val="fr-BE"/>
        </w:rPr>
        <w:t xml:space="preserve">) et d’autres composants tels que les </w:t>
      </w:r>
      <w:proofErr w:type="spellStart"/>
      <w:r w:rsidRPr="00076EB7">
        <w:rPr>
          <w:lang w:val="fr-BE"/>
        </w:rPr>
        <w:t>HAPs</w:t>
      </w:r>
      <w:proofErr w:type="spellEnd"/>
      <w:r w:rsidRPr="00076EB7">
        <w:rPr>
          <w:lang w:val="fr-BE"/>
        </w:rPr>
        <w:t xml:space="preserve"> (</w:t>
      </w:r>
      <w:r w:rsidR="000F6A58" w:rsidRPr="000F6A58">
        <w:rPr>
          <w:lang w:val="fr-BE"/>
        </w:rPr>
        <w:t xml:space="preserve">Hydrocarbures </w:t>
      </w:r>
      <w:r w:rsidR="000F6A58">
        <w:rPr>
          <w:lang w:val="fr-BE"/>
        </w:rPr>
        <w:t>A</w:t>
      </w:r>
      <w:r w:rsidR="000F6A58" w:rsidRPr="000F6A58">
        <w:rPr>
          <w:lang w:val="fr-BE"/>
        </w:rPr>
        <w:t xml:space="preserve">romatiques </w:t>
      </w:r>
      <w:r w:rsidR="000F6A58">
        <w:rPr>
          <w:lang w:val="fr-BE"/>
        </w:rPr>
        <w:t>Po</w:t>
      </w:r>
      <w:r w:rsidR="000F6A58" w:rsidRPr="000F6A58">
        <w:rPr>
          <w:lang w:val="fr-BE"/>
        </w:rPr>
        <w:t>lycycliques</w:t>
      </w:r>
      <w:r w:rsidR="000F6A58">
        <w:rPr>
          <w:lang w:val="fr-BE"/>
        </w:rPr>
        <w:t xml:space="preserve"> comme le </w:t>
      </w:r>
      <w:r w:rsidRPr="00076EB7">
        <w:rPr>
          <w:lang w:val="fr-BE"/>
        </w:rPr>
        <w:t>naphtalène...) qui peuvent donner lieu à des nuisances par l’odeur et peuvent affecter la santé. Ces substances peuvent être libérées libèrent lors de la manipulation du sol: l’excavation, son chargement dans les camions et son stockage temporaire sur le terrain où l’assainissement a lieu.</w:t>
      </w:r>
      <w:r w:rsidR="000F6A58">
        <w:rPr>
          <w:lang w:val="fr-BE"/>
        </w:rPr>
        <w:t xml:space="preserve"> </w:t>
      </w:r>
      <w:r w:rsidRPr="00076EB7">
        <w:rPr>
          <w:lang w:val="fr-BE"/>
        </w:rPr>
        <w:t>La purification d’eau et d’air est également une source probable d’émissions d’odeurs. Il est essentiel que la découverte ait lieu à temps.</w:t>
      </w:r>
    </w:p>
    <w:p w14:paraId="747309E4" w14:textId="77777777" w:rsidR="00076EB7" w:rsidRPr="00076EB7" w:rsidRDefault="00076EB7" w:rsidP="00076EB7">
      <w:pPr>
        <w:pStyle w:val="BOFAS-standaardtekst"/>
        <w:rPr>
          <w:lang w:val="fr-BE"/>
        </w:rPr>
      </w:pPr>
    </w:p>
    <w:p w14:paraId="7C4F6ED4" w14:textId="77777777" w:rsidR="00076EB7" w:rsidRPr="00076EB7" w:rsidRDefault="00076EB7" w:rsidP="00076EB7">
      <w:pPr>
        <w:pStyle w:val="BOFAS-standaardtekst"/>
        <w:rPr>
          <w:lang w:val="fr-BE"/>
        </w:rPr>
      </w:pPr>
      <w:r w:rsidRPr="00076EB7">
        <w:rPr>
          <w:lang w:val="fr-BE"/>
        </w:rPr>
        <w:t>Partout où BOFAS fait réaliser des travaux et où le risque est aggravé, l’utilisation de détecteurs de gaz est obligatoire. Ce matériel est complémentaire aux équipements de protection individuelle et le cas échéant les définis.</w:t>
      </w:r>
    </w:p>
    <w:p w14:paraId="0E5BB6BA" w14:textId="77777777" w:rsidR="00076EB7" w:rsidRPr="00076EB7" w:rsidRDefault="00076EB7" w:rsidP="00076EB7">
      <w:pPr>
        <w:pStyle w:val="BOFAS-standaardtekst"/>
        <w:rPr>
          <w:lang w:val="fr-BE"/>
        </w:rPr>
      </w:pPr>
    </w:p>
    <w:p w14:paraId="6F7DACD9" w14:textId="77777777" w:rsidR="00076EB7" w:rsidRPr="00076EB7" w:rsidRDefault="00076EB7" w:rsidP="00076EB7">
      <w:pPr>
        <w:pStyle w:val="BOFAS-standaardtekst"/>
        <w:rPr>
          <w:lang w:val="fr-BE"/>
        </w:rPr>
      </w:pPr>
    </w:p>
    <w:p w14:paraId="435CF246" w14:textId="77777777" w:rsidR="00076EB7" w:rsidRPr="00076EB7" w:rsidRDefault="00076EB7" w:rsidP="00076EB7">
      <w:pPr>
        <w:pStyle w:val="Kop3"/>
        <w:rPr>
          <w:lang w:val="fr-BE"/>
        </w:rPr>
      </w:pPr>
      <w:bookmarkStart w:id="22" w:name="_Toc27564377"/>
      <w:r w:rsidRPr="00076EB7">
        <w:rPr>
          <w:lang w:val="fr-BE"/>
        </w:rPr>
        <w:t>Equipements de protection individuelle</w:t>
      </w:r>
      <w:bookmarkEnd w:id="22"/>
    </w:p>
    <w:p w14:paraId="5FC74191" w14:textId="77777777" w:rsidR="00076EB7" w:rsidRPr="00076EB7" w:rsidRDefault="00076EB7" w:rsidP="00076EB7">
      <w:pPr>
        <w:pStyle w:val="BOFAS-standaardtekst"/>
      </w:pPr>
    </w:p>
    <w:p w14:paraId="7A2B4538" w14:textId="77777777" w:rsidR="00076EB7" w:rsidRPr="000F6A58" w:rsidRDefault="00076EB7" w:rsidP="00076EB7">
      <w:pPr>
        <w:pStyle w:val="BOFAS-standaardtekst"/>
        <w:rPr>
          <w:lang w:val="fr-BE"/>
        </w:rPr>
      </w:pPr>
      <w:r w:rsidRPr="000F6A58">
        <w:rPr>
          <w:lang w:val="fr-BE"/>
        </w:rPr>
        <w:t>Dans les espaces confinés, malgré un nettoyage intensif, il est possible que des substances toxiques soient libérées. Par exemple lorsqu’il est difficile d’accéder à certains espaces à nettoyer. Dans ce cas, l’usage d’équipements de protection individuelle tels qu’un système respiratoire autonome est nécessaire.</w:t>
      </w:r>
    </w:p>
    <w:p w14:paraId="690B649C" w14:textId="77777777" w:rsidR="00076EB7" w:rsidRPr="001F2960" w:rsidRDefault="00076EB7" w:rsidP="00076EB7">
      <w:pPr>
        <w:pStyle w:val="BOFAS-standaardtekst"/>
        <w:rPr>
          <w:lang w:val="fr-BE"/>
        </w:rPr>
      </w:pPr>
    </w:p>
    <w:p w14:paraId="751FAAD5" w14:textId="77777777" w:rsidR="000F6A58" w:rsidRPr="001F2960" w:rsidRDefault="000F6A58" w:rsidP="00076EB7">
      <w:pPr>
        <w:pStyle w:val="BOFAS-standaardtekst"/>
        <w:rPr>
          <w:lang w:val="fr-BE"/>
        </w:rPr>
      </w:pPr>
    </w:p>
    <w:p w14:paraId="5AE99860" w14:textId="77777777" w:rsidR="00076EB7" w:rsidRDefault="000F6A58" w:rsidP="000F6A58">
      <w:pPr>
        <w:pStyle w:val="Kop2"/>
        <w:rPr>
          <w:lang w:val="fr-BE"/>
        </w:rPr>
      </w:pPr>
      <w:bookmarkStart w:id="23" w:name="_Toc159917818"/>
      <w:bookmarkStart w:id="24" w:name="_Toc159924471"/>
      <w:bookmarkStart w:id="25" w:name="_Toc27564378"/>
      <w:r w:rsidRPr="00076EB7">
        <w:rPr>
          <w:lang w:val="fr-BE"/>
        </w:rPr>
        <w:t>Dispositions relatives</w:t>
      </w:r>
      <w:r w:rsidR="00076EB7" w:rsidRPr="00076EB7">
        <w:rPr>
          <w:lang w:val="fr-BE"/>
        </w:rPr>
        <w:t xml:space="preserve"> à l’usage des appareils de mesures</w:t>
      </w:r>
      <w:bookmarkEnd w:id="23"/>
      <w:bookmarkEnd w:id="24"/>
      <w:bookmarkEnd w:id="25"/>
    </w:p>
    <w:p w14:paraId="4E878366" w14:textId="77777777" w:rsidR="000F6A58" w:rsidRPr="000F6A58" w:rsidRDefault="000F6A58" w:rsidP="000F6A58">
      <w:pPr>
        <w:pStyle w:val="BOFAS-standaardtekst"/>
        <w:rPr>
          <w:lang w:val="fr-BE"/>
        </w:rPr>
      </w:pPr>
    </w:p>
    <w:p w14:paraId="3FC8C8CE" w14:textId="77777777" w:rsidR="00076EB7" w:rsidRPr="00076EB7" w:rsidRDefault="00076EB7" w:rsidP="00076EB7">
      <w:pPr>
        <w:pStyle w:val="BOFAS-standaardtekst"/>
        <w:numPr>
          <w:ilvl w:val="0"/>
          <w:numId w:val="20"/>
        </w:numPr>
        <w:ind w:left="360"/>
        <w:rPr>
          <w:spacing w:val="-2"/>
          <w:lang w:val="fr-BE"/>
        </w:rPr>
      </w:pPr>
      <w:r w:rsidRPr="00076EB7">
        <w:rPr>
          <w:spacing w:val="-2"/>
          <w:lang w:val="fr-BE"/>
        </w:rPr>
        <w:t>L’évaluation de toutes les valeurs enregistrées dans les espaces confinés doit être faite par une personne qui peut interpréter correctement les mesures réalisées.</w:t>
      </w:r>
    </w:p>
    <w:p w14:paraId="14CC5E21" w14:textId="77777777" w:rsidR="00076EB7" w:rsidRPr="00076EB7" w:rsidRDefault="00076EB7" w:rsidP="00076EB7">
      <w:pPr>
        <w:pStyle w:val="BOFAS-standaardtekst"/>
        <w:numPr>
          <w:ilvl w:val="0"/>
          <w:numId w:val="20"/>
        </w:numPr>
        <w:ind w:left="360"/>
        <w:rPr>
          <w:spacing w:val="-2"/>
          <w:lang w:val="fr-BE"/>
        </w:rPr>
      </w:pPr>
      <w:r w:rsidRPr="00076EB7">
        <w:rPr>
          <w:spacing w:val="-2"/>
          <w:lang w:val="fr-BE"/>
        </w:rPr>
        <w:t>Consultez toujours le mode d’emploi avant d’utiliser l’appareil.</w:t>
      </w:r>
    </w:p>
    <w:p w14:paraId="7F43E2EA" w14:textId="77777777" w:rsidR="00076EB7" w:rsidRPr="00076EB7" w:rsidRDefault="00076EB7" w:rsidP="00076EB7">
      <w:pPr>
        <w:pStyle w:val="BOFAS-standaardtekst"/>
        <w:numPr>
          <w:ilvl w:val="0"/>
          <w:numId w:val="20"/>
        </w:numPr>
        <w:ind w:left="360"/>
        <w:rPr>
          <w:spacing w:val="-2"/>
          <w:lang w:val="fr-BE"/>
        </w:rPr>
      </w:pPr>
      <w:r w:rsidRPr="00076EB7">
        <w:rPr>
          <w:spacing w:val="-2"/>
          <w:lang w:val="fr-BE"/>
        </w:rPr>
        <w:t>Utilisez uniquement des pièces détachées correspondant à l’appareil.</w:t>
      </w:r>
    </w:p>
    <w:p w14:paraId="6A651D6C" w14:textId="77777777" w:rsidR="00076EB7" w:rsidRPr="00076EB7" w:rsidRDefault="00076EB7" w:rsidP="00076EB7">
      <w:pPr>
        <w:pStyle w:val="BOFAS-standaardtekst"/>
        <w:numPr>
          <w:ilvl w:val="0"/>
          <w:numId w:val="20"/>
        </w:numPr>
        <w:ind w:left="360"/>
        <w:rPr>
          <w:spacing w:val="-2"/>
          <w:lang w:val="fr-BE"/>
        </w:rPr>
      </w:pPr>
      <w:r w:rsidRPr="00076EB7">
        <w:rPr>
          <w:spacing w:val="-2"/>
          <w:lang w:val="fr-BE"/>
        </w:rPr>
        <w:t>Choisissez le bon emplacement d’échantillonnage dans les espaces confinés pour l’analyse d’air.</w:t>
      </w:r>
    </w:p>
    <w:p w14:paraId="4426A029" w14:textId="77777777" w:rsidR="00076EB7" w:rsidRPr="00076EB7" w:rsidRDefault="00076EB7" w:rsidP="00076EB7">
      <w:pPr>
        <w:pStyle w:val="BOFAS-standaardtekst"/>
        <w:rPr>
          <w:lang w:val="fr-BE"/>
        </w:rPr>
      </w:pPr>
    </w:p>
    <w:p w14:paraId="18DB1C43" w14:textId="77777777" w:rsidR="00076EB7" w:rsidRPr="00076EB7" w:rsidRDefault="00076EB7" w:rsidP="00076EB7">
      <w:pPr>
        <w:pStyle w:val="BOFAS-standaardtekst"/>
        <w:rPr>
          <w:lang w:val="fr-BE"/>
        </w:rPr>
      </w:pPr>
      <w:r w:rsidRPr="00076EB7">
        <w:rPr>
          <w:lang w:val="fr-BE"/>
        </w:rPr>
        <w:t>Certains gaz et vapeurs sont plus lourds que l’air et peuvent s’entasser sur le sol ou dans des coins moins ventilés. Afin de ne pas être obligés de se rendre dans l’endroit confiné, il est nécessaire de prévoir des tubes de prélèvement.</w:t>
      </w:r>
    </w:p>
    <w:p w14:paraId="28D8083D" w14:textId="77777777" w:rsidR="00076EB7" w:rsidRPr="00076EB7" w:rsidRDefault="00076EB7" w:rsidP="00076EB7">
      <w:pPr>
        <w:pStyle w:val="BOFAS-standaardtekst"/>
        <w:rPr>
          <w:u w:val="single"/>
          <w:lang w:val="fr-BE"/>
        </w:rPr>
      </w:pPr>
    </w:p>
    <w:p w14:paraId="02C0D418" w14:textId="77777777" w:rsidR="00076EB7" w:rsidRPr="00076EB7" w:rsidRDefault="00076EB7" w:rsidP="00076EB7">
      <w:pPr>
        <w:pStyle w:val="Kop2"/>
        <w:rPr>
          <w:lang w:val="fr-BE"/>
        </w:rPr>
      </w:pPr>
      <w:bookmarkStart w:id="26" w:name="_Toc159917819"/>
      <w:bookmarkStart w:id="27" w:name="_Toc159924472"/>
      <w:bookmarkStart w:id="28" w:name="_Toc27564379"/>
      <w:r w:rsidRPr="00076EB7">
        <w:rPr>
          <w:lang w:val="fr-BE"/>
        </w:rPr>
        <w:lastRenderedPageBreak/>
        <w:t>Gestion et responsabilités</w:t>
      </w:r>
      <w:bookmarkEnd w:id="26"/>
      <w:bookmarkEnd w:id="27"/>
      <w:bookmarkEnd w:id="28"/>
    </w:p>
    <w:p w14:paraId="3A955E95" w14:textId="77777777" w:rsidR="00076EB7" w:rsidRPr="00076EB7" w:rsidRDefault="00076EB7" w:rsidP="00076EB7">
      <w:pPr>
        <w:pStyle w:val="BOFAS-standaardtekst"/>
        <w:rPr>
          <w:lang w:val="fr-BE"/>
        </w:rPr>
      </w:pPr>
    </w:p>
    <w:p w14:paraId="0F5A4703" w14:textId="77777777" w:rsidR="00076EB7" w:rsidRPr="00076EB7" w:rsidRDefault="00076EB7" w:rsidP="00076EB7">
      <w:pPr>
        <w:pStyle w:val="BOFAS-standaardtekst"/>
        <w:rPr>
          <w:lang w:val="fr-BE"/>
        </w:rPr>
      </w:pPr>
      <w:r w:rsidRPr="00076EB7">
        <w:rPr>
          <w:lang w:val="fr-BE"/>
        </w:rPr>
        <w:t>Pour des raisons pratiques, BOFAS a attribué les responsabilités suivantes en cas où l’entrepreneur et le responsable environnemental sont présents sur le chantier:</w:t>
      </w:r>
    </w:p>
    <w:p w14:paraId="1562F025" w14:textId="27E89146" w:rsidR="00076EB7" w:rsidRPr="00076EB7" w:rsidRDefault="00076EB7" w:rsidP="00313926">
      <w:pPr>
        <w:pStyle w:val="BOFAS-standaardtekst"/>
        <w:numPr>
          <w:ilvl w:val="0"/>
          <w:numId w:val="20"/>
        </w:numPr>
        <w:ind w:left="360"/>
        <w:rPr>
          <w:lang w:val="fr-BE"/>
        </w:rPr>
      </w:pPr>
      <w:r w:rsidRPr="00076EB7">
        <w:rPr>
          <w:lang w:val="fr-BE"/>
        </w:rPr>
        <w:t xml:space="preserve">Le RE est chargé de la fourniture et de l’utilisation d’un détecteur à </w:t>
      </w:r>
      <w:r w:rsidR="00C03B33" w:rsidRPr="00076EB7">
        <w:rPr>
          <w:lang w:val="fr-BE"/>
        </w:rPr>
        <w:t>photo ionisation</w:t>
      </w:r>
      <w:r w:rsidRPr="00076EB7">
        <w:rPr>
          <w:lang w:val="fr-BE"/>
        </w:rPr>
        <w:t xml:space="preserve"> PID parce que c’est principalement utilisé pour la mesure des concentrations pendant l’excavation de terres polluées, ceci nécessitant toujours la présence du RE.</w:t>
      </w:r>
    </w:p>
    <w:p w14:paraId="0FA37BCF" w14:textId="77777777" w:rsidR="00076EB7" w:rsidRPr="00076EB7" w:rsidRDefault="00076EB7" w:rsidP="00076EB7">
      <w:pPr>
        <w:pStyle w:val="BOFAS-standaardtekst"/>
        <w:numPr>
          <w:ilvl w:val="0"/>
          <w:numId w:val="21"/>
        </w:numPr>
        <w:ind w:left="360"/>
        <w:rPr>
          <w:lang w:val="fr-BE"/>
        </w:rPr>
      </w:pPr>
      <w:r w:rsidRPr="00076EB7">
        <w:rPr>
          <w:lang w:val="fr-BE"/>
        </w:rPr>
        <w:t xml:space="preserve">L’entrepreneur est chargé de la fourniture et l’utilisation de l’explosimètre et/ou détecteur de gaz (oxygénomètre) </w:t>
      </w:r>
      <w:r>
        <w:rPr>
          <w:lang w:val="fr-BE"/>
        </w:rPr>
        <w:t xml:space="preserve">parce que c’est </w:t>
      </w:r>
      <w:r w:rsidRPr="00076EB7">
        <w:rPr>
          <w:lang w:val="fr-BE"/>
        </w:rPr>
        <w:t>principalement utilisé lors de l’excavation et l’enlèvement des citernes afin de vérifier si la citerne a été dégazée avant d’entamer son nettoyage, son excavation et son évacuation.</w:t>
      </w:r>
    </w:p>
    <w:p w14:paraId="0DD168CD" w14:textId="77777777" w:rsidR="00076EB7" w:rsidRPr="00076EB7" w:rsidRDefault="00076EB7" w:rsidP="00076EB7">
      <w:pPr>
        <w:pStyle w:val="BOFAS-standaardtekst"/>
        <w:rPr>
          <w:lang w:val="fr-BE"/>
        </w:rPr>
      </w:pPr>
    </w:p>
    <w:p w14:paraId="35AE4795" w14:textId="77777777" w:rsidR="00076EB7" w:rsidRPr="00076EB7" w:rsidRDefault="00076EB7" w:rsidP="00076EB7">
      <w:pPr>
        <w:pStyle w:val="BOFAS-standaardtekst"/>
        <w:rPr>
          <w:lang w:val="fr-BE"/>
        </w:rPr>
      </w:pPr>
      <w:r w:rsidRPr="00076EB7">
        <w:rPr>
          <w:lang w:val="fr-BE"/>
        </w:rPr>
        <w:t xml:space="preserve">Toutes les mesures de gaz tombent donc sous la responsabilité des responsables cités ci-dessus. </w:t>
      </w:r>
    </w:p>
    <w:p w14:paraId="79FCE110" w14:textId="77777777" w:rsidR="00076EB7" w:rsidRPr="00076EB7" w:rsidRDefault="00076EB7" w:rsidP="00076EB7">
      <w:pPr>
        <w:pStyle w:val="BOFAS-standaardtekst"/>
        <w:rPr>
          <w:lang w:val="fr-BE"/>
        </w:rPr>
      </w:pPr>
    </w:p>
    <w:p w14:paraId="75531D05" w14:textId="0C519BD9" w:rsidR="00076EB7" w:rsidRPr="00076EB7" w:rsidRDefault="00076EB7" w:rsidP="00076EB7">
      <w:pPr>
        <w:pStyle w:val="BOFAS-standaardtekst"/>
        <w:rPr>
          <w:lang w:val="fr-BE"/>
        </w:rPr>
      </w:pPr>
      <w:r w:rsidRPr="00076EB7">
        <w:rPr>
          <w:lang w:val="fr-BE"/>
        </w:rPr>
        <w:t>Dans le cas où seul l’entrepreneur ou le responsable environnemental est présent, ce dernier est tenu de se charger de la réalisation des mesures nécessaires.</w:t>
      </w:r>
      <w:r w:rsidR="00717754">
        <w:rPr>
          <w:lang w:val="fr-BE"/>
        </w:rPr>
        <w:t xml:space="preserve"> </w:t>
      </w:r>
    </w:p>
    <w:p w14:paraId="108D2C8D" w14:textId="77777777" w:rsidR="00076EB7" w:rsidRPr="00076EB7" w:rsidRDefault="00076EB7" w:rsidP="00076EB7">
      <w:pPr>
        <w:pStyle w:val="BOFAS-standaardtekst"/>
        <w:rPr>
          <w:lang w:val="fr-BE"/>
        </w:rPr>
      </w:pPr>
    </w:p>
    <w:p w14:paraId="12F2C7B6" w14:textId="77777777" w:rsidR="00076EB7" w:rsidRPr="00076EB7" w:rsidRDefault="00076EB7" w:rsidP="00076EB7">
      <w:pPr>
        <w:pStyle w:val="BOFAS-standaardtekst"/>
        <w:rPr>
          <w:lang w:val="fr-BE"/>
        </w:rPr>
      </w:pPr>
      <w:r w:rsidRPr="00076EB7">
        <w:rPr>
          <w:lang w:val="fr-BE"/>
        </w:rPr>
        <w:t>Pour cette raison, chaque expert agréé en assainissement du sol dispose des appareils de mesure nécessaires et des spécialistes compétents pour la réalisation de mesures de gaz</w:t>
      </w:r>
      <w:r>
        <w:rPr>
          <w:lang w:val="fr-BE"/>
        </w:rPr>
        <w:t>.</w:t>
      </w:r>
    </w:p>
    <w:p w14:paraId="06E44439" w14:textId="77777777" w:rsidR="00076EB7" w:rsidRPr="00076EB7" w:rsidRDefault="00076EB7" w:rsidP="00076EB7">
      <w:pPr>
        <w:pStyle w:val="BOFAS-standaardtekst"/>
        <w:rPr>
          <w:lang w:val="fr-BE"/>
        </w:rPr>
      </w:pPr>
    </w:p>
    <w:p w14:paraId="7E19ED89" w14:textId="77777777" w:rsidR="00076EB7" w:rsidRPr="00076EB7" w:rsidRDefault="00076EB7" w:rsidP="00076EB7">
      <w:pPr>
        <w:pStyle w:val="BOFAS-standaardtekst"/>
        <w:rPr>
          <w:lang w:val="fr-BE"/>
        </w:rPr>
      </w:pPr>
      <w:r w:rsidRPr="00076EB7">
        <w:rPr>
          <w:lang w:val="fr-BE"/>
        </w:rPr>
        <w:t>Les entrepreneurs et les experts agréés en assainissement du sol soumettront une attestation dont il ressort qu’ils disposent:</w:t>
      </w:r>
    </w:p>
    <w:p w14:paraId="43BA8EC4" w14:textId="77777777" w:rsidR="00076EB7" w:rsidRPr="00076EB7" w:rsidRDefault="00076EB7" w:rsidP="00076EB7">
      <w:pPr>
        <w:pStyle w:val="BOFAS-standaardtekst"/>
        <w:numPr>
          <w:ilvl w:val="0"/>
          <w:numId w:val="22"/>
        </w:numPr>
        <w:rPr>
          <w:lang w:val="fr-BE"/>
        </w:rPr>
      </w:pPr>
      <w:r w:rsidRPr="00076EB7">
        <w:rPr>
          <w:lang w:val="fr-BE"/>
        </w:rPr>
        <w:t>Du personnel compétent</w:t>
      </w:r>
      <w:r>
        <w:rPr>
          <w:lang w:val="fr-BE"/>
        </w:rPr>
        <w:t>:</w:t>
      </w:r>
    </w:p>
    <w:p w14:paraId="6703C18E" w14:textId="77777777" w:rsidR="00076EB7" w:rsidRPr="00076EB7" w:rsidRDefault="00076EB7" w:rsidP="00076EB7">
      <w:pPr>
        <w:pStyle w:val="BOFAS-standaardtekst"/>
        <w:ind w:left="360"/>
        <w:rPr>
          <w:lang w:val="fr-BE"/>
        </w:rPr>
      </w:pPr>
      <w:r w:rsidRPr="00076EB7">
        <w:rPr>
          <w:lang w:val="fr-BE"/>
        </w:rPr>
        <w:t>Pour entrer en considération et être repris sur la liste des personnes compétentes, il faut au moins avoir suivi une formation répondant aux connaissances exigées en matière d’appareils de détection mobiles de gaz.</w:t>
      </w:r>
    </w:p>
    <w:p w14:paraId="162541F3" w14:textId="77777777" w:rsidR="00076EB7" w:rsidRPr="00076EB7" w:rsidRDefault="00076EB7" w:rsidP="00076EB7">
      <w:pPr>
        <w:pStyle w:val="BOFAS-standaardtekst"/>
        <w:ind w:left="360"/>
        <w:rPr>
          <w:lang w:val="fr-BE"/>
        </w:rPr>
      </w:pPr>
      <w:r w:rsidRPr="00076EB7">
        <w:rPr>
          <w:lang w:val="fr-BE"/>
        </w:rPr>
        <w:t>Les attestations peuvent être de nature suivante: un certificat ou une attestation d’un cours ou d’une formation dont il ressort que la personne concernée est en état d’utiliser l’appareillage et d’interpréter les mesures de manière correcte.</w:t>
      </w:r>
    </w:p>
    <w:p w14:paraId="2E5FC731" w14:textId="77777777" w:rsidR="00076EB7" w:rsidRPr="00076EB7" w:rsidRDefault="00076EB7" w:rsidP="00076EB7">
      <w:pPr>
        <w:pStyle w:val="BOFAS-standaardtekst"/>
        <w:numPr>
          <w:ilvl w:val="0"/>
          <w:numId w:val="22"/>
        </w:numPr>
        <w:rPr>
          <w:lang w:val="fr-BE"/>
        </w:rPr>
      </w:pPr>
      <w:r w:rsidRPr="00076EB7">
        <w:rPr>
          <w:lang w:val="fr-BE"/>
        </w:rPr>
        <w:t>D’une attestation d’entretien et d’étalonnage des appareils utilisés avec mention de la dernière date d’étalonnage et de la prochaine date pour l’entretien et l’étalonnage.</w:t>
      </w:r>
    </w:p>
    <w:p w14:paraId="2B697A52" w14:textId="77777777" w:rsidR="00076EB7" w:rsidRPr="00076EB7" w:rsidRDefault="00076EB7" w:rsidP="00076EB7">
      <w:pPr>
        <w:pStyle w:val="BOFAS-standaardtekst"/>
        <w:rPr>
          <w:lang w:val="fr-BE"/>
        </w:rPr>
      </w:pPr>
    </w:p>
    <w:p w14:paraId="08865543" w14:textId="77777777" w:rsidR="00076EB7" w:rsidRPr="00076EB7" w:rsidRDefault="00076EB7" w:rsidP="00076EB7">
      <w:pPr>
        <w:pStyle w:val="BOFAS-standaardtekst"/>
        <w:rPr>
          <w:lang w:val="fr-BE"/>
        </w:rPr>
      </w:pPr>
    </w:p>
    <w:p w14:paraId="2481AB08" w14:textId="77777777" w:rsidR="00076EB7" w:rsidRPr="00076EB7" w:rsidRDefault="00076EB7" w:rsidP="00076EB7">
      <w:pPr>
        <w:pStyle w:val="Kop2"/>
        <w:rPr>
          <w:lang w:val="fr-BE"/>
        </w:rPr>
      </w:pPr>
      <w:bookmarkStart w:id="29" w:name="_Toc159917820"/>
      <w:bookmarkStart w:id="30" w:name="_Toc159924473"/>
      <w:bookmarkStart w:id="31" w:name="_Toc27564380"/>
      <w:r w:rsidRPr="00076EB7">
        <w:rPr>
          <w:lang w:val="fr-BE"/>
        </w:rPr>
        <w:t>L’usage d’une pompe de prélèvement et de tubes de prélèvement.</w:t>
      </w:r>
      <w:bookmarkEnd w:id="29"/>
      <w:bookmarkEnd w:id="30"/>
      <w:bookmarkEnd w:id="31"/>
    </w:p>
    <w:p w14:paraId="1D8B1485" w14:textId="77777777" w:rsidR="00076EB7" w:rsidRPr="00076EB7" w:rsidRDefault="00076EB7" w:rsidP="00076EB7">
      <w:pPr>
        <w:pStyle w:val="BOFAS-standaardtekst"/>
        <w:rPr>
          <w:lang w:val="fr-BE"/>
        </w:rPr>
      </w:pPr>
    </w:p>
    <w:p w14:paraId="7B9EF825" w14:textId="77777777" w:rsidR="00076EB7" w:rsidRPr="00076EB7" w:rsidRDefault="00076EB7" w:rsidP="00076EB7">
      <w:pPr>
        <w:pStyle w:val="BOFAS-standaardtekst"/>
        <w:rPr>
          <w:lang w:val="fr-BE"/>
        </w:rPr>
      </w:pPr>
      <w:r w:rsidRPr="00076EB7">
        <w:rPr>
          <w:lang w:val="fr-BE"/>
        </w:rPr>
        <w:t>Ils peuvent servir en cas où on effectue des mesures aux alentours des citernes, dans les excavations et dans l’environnement ambiant intérieur/extérieur.</w:t>
      </w:r>
    </w:p>
    <w:p w14:paraId="1CA2AEBC" w14:textId="77777777" w:rsidR="00076EB7" w:rsidRPr="00076EB7" w:rsidRDefault="00076EB7" w:rsidP="00076EB7">
      <w:pPr>
        <w:pStyle w:val="BOFAS-standaardtekst"/>
        <w:rPr>
          <w:spacing w:val="-2"/>
          <w:lang w:val="fr-BE"/>
        </w:rPr>
      </w:pPr>
    </w:p>
    <w:p w14:paraId="28162F8D" w14:textId="77777777" w:rsidR="00076EB7" w:rsidRPr="00076EB7" w:rsidRDefault="00076EB7" w:rsidP="00076EB7">
      <w:pPr>
        <w:pStyle w:val="BOFAS-standaardtekst"/>
        <w:rPr>
          <w:spacing w:val="-2"/>
          <w:lang w:val="fr-BE"/>
        </w:rPr>
      </w:pPr>
      <w:r w:rsidRPr="00076EB7">
        <w:rPr>
          <w:spacing w:val="-2"/>
          <w:lang w:val="fr-BE"/>
        </w:rPr>
        <w:t>A l’aide d’une pompe manuelle et de tubes de prélèvement, on peut constater assez rapidement la présence d’un certain type de gaz dans l’air. Le résultat de cette mesure est seulement indicatif de la concentration de gaz réellement présente.</w:t>
      </w:r>
    </w:p>
    <w:p w14:paraId="762AF21C" w14:textId="77777777" w:rsidR="00076EB7" w:rsidRPr="00076EB7" w:rsidRDefault="00076EB7" w:rsidP="00076EB7">
      <w:pPr>
        <w:pStyle w:val="BOFAS-standaardtekst"/>
        <w:rPr>
          <w:spacing w:val="-2"/>
          <w:lang w:val="fr-BE"/>
        </w:rPr>
      </w:pPr>
    </w:p>
    <w:p w14:paraId="68971DB9" w14:textId="77777777" w:rsidR="00076EB7" w:rsidRPr="00076EB7" w:rsidRDefault="00076EB7" w:rsidP="00076EB7">
      <w:pPr>
        <w:pStyle w:val="BOFAS-standaardtekst"/>
        <w:rPr>
          <w:spacing w:val="-2"/>
          <w:lang w:val="fr-BE"/>
        </w:rPr>
      </w:pPr>
      <w:r w:rsidRPr="00076EB7">
        <w:rPr>
          <w:spacing w:val="-2"/>
          <w:lang w:val="fr-BE"/>
        </w:rPr>
        <w:t>Attention: Il y a plusieurs tubes disponibles pour la détection de différents types de gaz et il faut utiliser le type de tube adéquat.</w:t>
      </w:r>
    </w:p>
    <w:p w14:paraId="085C1E4C" w14:textId="77777777" w:rsidR="00076EB7" w:rsidRPr="00076EB7" w:rsidRDefault="00076EB7" w:rsidP="00076EB7">
      <w:pPr>
        <w:pStyle w:val="BOFAS-standaardtekst"/>
        <w:rPr>
          <w:spacing w:val="-2"/>
          <w:lang w:val="fr-BE"/>
        </w:rPr>
      </w:pPr>
    </w:p>
    <w:p w14:paraId="51030627" w14:textId="77777777" w:rsidR="00076EB7" w:rsidRDefault="00076EB7" w:rsidP="00076EB7">
      <w:pPr>
        <w:pStyle w:val="BOFAS-standaardtekst"/>
        <w:rPr>
          <w:spacing w:val="-2"/>
          <w:lang w:val="fr-BE"/>
        </w:rPr>
      </w:pPr>
      <w:r w:rsidRPr="00076EB7">
        <w:rPr>
          <w:spacing w:val="-2"/>
          <w:lang w:val="fr-BE"/>
        </w:rPr>
        <w:t>La pompe manuelle est mieux connue sous le nom de pompe «Dräger».</w:t>
      </w:r>
    </w:p>
    <w:p w14:paraId="7C0FD703" w14:textId="77777777" w:rsidR="00076EB7" w:rsidRPr="00076EB7" w:rsidRDefault="00076EB7" w:rsidP="00076EB7">
      <w:pPr>
        <w:pStyle w:val="BOFAS-standaardtekst"/>
        <w:rPr>
          <w:spacing w:val="-2"/>
          <w:lang w:val="fr-BE"/>
        </w:rPr>
      </w:pPr>
    </w:p>
    <w:p w14:paraId="06B88DEC" w14:textId="77777777" w:rsidR="00076EB7" w:rsidRPr="00076EB7" w:rsidRDefault="00076EB7" w:rsidP="00076EB7">
      <w:pPr>
        <w:pStyle w:val="BOFAS-standaardtekst"/>
        <w:rPr>
          <w:lang w:val="fr-BE"/>
        </w:rPr>
      </w:pPr>
      <w:r w:rsidRPr="00076EB7">
        <w:rPr>
          <w:lang w:val="fr-BE"/>
        </w:rPr>
        <w:t xml:space="preserve">Les tubes de prélèvement se vendent par 10. Les dates limites d’utilisation et éventuellement la température de conservation sont indiquées sur les boîtes. Elles ne </w:t>
      </w:r>
      <w:r w:rsidRPr="00076EB7">
        <w:rPr>
          <w:lang w:val="fr-BE"/>
        </w:rPr>
        <w:lastRenderedPageBreak/>
        <w:t>peuvent pas être dépassées. Il est essentiel de lire la notice d’accompagnement contenant les notices d’utilisation avant chaque utilisation car celles-ci diffèrent selon les types de tube.</w:t>
      </w:r>
    </w:p>
    <w:p w14:paraId="712945B6" w14:textId="77777777" w:rsidR="00076EB7" w:rsidRDefault="00076EB7" w:rsidP="00076EB7">
      <w:pPr>
        <w:pStyle w:val="BOFAS-standaardtekst"/>
        <w:rPr>
          <w:lang w:val="fr-BE"/>
        </w:rPr>
      </w:pPr>
    </w:p>
    <w:p w14:paraId="5764530C" w14:textId="77777777" w:rsidR="00076EB7" w:rsidRPr="00076EB7" w:rsidRDefault="00076EB7" w:rsidP="00076EB7">
      <w:pPr>
        <w:pStyle w:val="BOFAS-standaardtekst"/>
        <w:rPr>
          <w:lang w:val="fr-BE"/>
        </w:rPr>
      </w:pPr>
    </w:p>
    <w:p w14:paraId="3ED2DDFC" w14:textId="4827B795" w:rsidR="00076EB7" w:rsidRPr="00076EB7" w:rsidRDefault="00076EB7" w:rsidP="00076EB7">
      <w:pPr>
        <w:pStyle w:val="Kop2"/>
        <w:rPr>
          <w:lang w:val="fr-BE"/>
        </w:rPr>
      </w:pPr>
      <w:bookmarkStart w:id="32" w:name="_Toc159917821"/>
      <w:bookmarkStart w:id="33" w:name="_Toc159924474"/>
      <w:bookmarkStart w:id="34" w:name="_Toc27564381"/>
      <w:r w:rsidRPr="00076EB7">
        <w:rPr>
          <w:lang w:val="fr-BE"/>
        </w:rPr>
        <w:t xml:space="preserve">L’utilisation d’un détecteur à </w:t>
      </w:r>
      <w:r w:rsidR="00717754" w:rsidRPr="00076EB7">
        <w:rPr>
          <w:lang w:val="fr-BE"/>
        </w:rPr>
        <w:t>photo ionisation</w:t>
      </w:r>
      <w:r w:rsidRPr="00076EB7">
        <w:rPr>
          <w:lang w:val="fr-BE"/>
        </w:rPr>
        <w:t xml:space="preserve"> PID</w:t>
      </w:r>
      <w:bookmarkEnd w:id="32"/>
      <w:bookmarkEnd w:id="33"/>
      <w:bookmarkEnd w:id="34"/>
    </w:p>
    <w:p w14:paraId="3A9AD23B" w14:textId="77777777" w:rsidR="00076EB7" w:rsidRPr="00076EB7" w:rsidRDefault="00076EB7" w:rsidP="00076EB7">
      <w:pPr>
        <w:pStyle w:val="BOFAS-standaardtekst"/>
        <w:rPr>
          <w:lang w:val="fr-BE"/>
        </w:rPr>
      </w:pPr>
    </w:p>
    <w:p w14:paraId="607FF86C" w14:textId="533FC896" w:rsidR="00076EB7" w:rsidRPr="00076EB7" w:rsidRDefault="00076EB7" w:rsidP="00076EB7">
      <w:pPr>
        <w:pStyle w:val="BOFAS-standaardtekst"/>
        <w:rPr>
          <w:lang w:val="fr-BE"/>
        </w:rPr>
      </w:pPr>
      <w:r w:rsidRPr="00076EB7">
        <w:rPr>
          <w:lang w:val="fr-BE"/>
        </w:rPr>
        <w:t xml:space="preserve">Un PID (ou égal, </w:t>
      </w:r>
      <w:r w:rsidR="00717754">
        <w:rPr>
          <w:lang w:val="fr-BE"/>
        </w:rPr>
        <w:t>p.e</w:t>
      </w:r>
      <w:r w:rsidRPr="00076EB7">
        <w:rPr>
          <w:lang w:val="fr-BE"/>
        </w:rPr>
        <w:t xml:space="preserve">x. PM4) mesure les composés organiques volatils présents en faibles concentrations exprimées en ppm (parts per million). </w:t>
      </w:r>
      <w:r w:rsidR="00C03B33" w:rsidRPr="00076EB7">
        <w:rPr>
          <w:lang w:val="fr-BE"/>
        </w:rPr>
        <w:t>Exemple de</w:t>
      </w:r>
      <w:r w:rsidRPr="00076EB7">
        <w:rPr>
          <w:lang w:val="fr-BE"/>
        </w:rPr>
        <w:t xml:space="preserve"> ces composés organiques volatils sont le benzène, le méthylchloride et le vinylchloride. </w:t>
      </w:r>
    </w:p>
    <w:p w14:paraId="286A4305" w14:textId="77777777" w:rsidR="00076EB7" w:rsidRPr="00076EB7" w:rsidRDefault="00076EB7" w:rsidP="00076EB7">
      <w:pPr>
        <w:pStyle w:val="BOFAS-standaardtekst"/>
        <w:rPr>
          <w:lang w:val="fr-BE"/>
        </w:rPr>
      </w:pPr>
    </w:p>
    <w:p w14:paraId="0F99CCFE" w14:textId="77777777" w:rsidR="00076EB7" w:rsidRPr="00076EB7" w:rsidRDefault="00076EB7" w:rsidP="00076EB7">
      <w:pPr>
        <w:pStyle w:val="BOFAS-standaardtekst"/>
        <w:rPr>
          <w:lang w:val="fr-BE"/>
        </w:rPr>
      </w:pPr>
      <w:r w:rsidRPr="00076EB7">
        <w:rPr>
          <w:lang w:val="fr-BE"/>
        </w:rPr>
        <w:t>Les limites d’exposition permises en ces polluants exigent actuellement des mesures de faibles concentrations ppm, souvent de l’ordre 0,1 ppm.</w:t>
      </w:r>
    </w:p>
    <w:p w14:paraId="1A59EC44" w14:textId="77777777" w:rsidR="00076EB7" w:rsidRPr="00076EB7" w:rsidRDefault="00076EB7" w:rsidP="00076EB7">
      <w:pPr>
        <w:pStyle w:val="BOFAS-standaardtekst"/>
        <w:rPr>
          <w:lang w:val="fr-BE"/>
        </w:rPr>
      </w:pPr>
    </w:p>
    <w:p w14:paraId="06C9A4D4" w14:textId="77777777" w:rsidR="00076EB7" w:rsidRPr="00076EB7" w:rsidRDefault="00076EB7" w:rsidP="00076EB7">
      <w:pPr>
        <w:pStyle w:val="BOFAS-standaardtekst"/>
        <w:rPr>
          <w:lang w:val="fr-BE"/>
        </w:rPr>
      </w:pPr>
      <w:r w:rsidRPr="00076EB7">
        <w:rPr>
          <w:lang w:val="fr-BE"/>
        </w:rPr>
        <w:t>La plupart des PID ont un double mode de mesure:</w:t>
      </w:r>
    </w:p>
    <w:p w14:paraId="00C50E5E" w14:textId="77777777" w:rsidR="00076EB7" w:rsidRPr="00076EB7" w:rsidRDefault="00076EB7" w:rsidP="00076EB7">
      <w:pPr>
        <w:pStyle w:val="BOFAS-standaardtekst"/>
        <w:numPr>
          <w:ilvl w:val="0"/>
          <w:numId w:val="20"/>
        </w:numPr>
        <w:ind w:left="360"/>
        <w:rPr>
          <w:lang w:val="fr-BE"/>
        </w:rPr>
      </w:pPr>
      <w:r w:rsidRPr="00076EB7">
        <w:rPr>
          <w:lang w:val="fr-BE"/>
        </w:rPr>
        <w:t>Mode de détection et</w:t>
      </w:r>
    </w:p>
    <w:p w14:paraId="22C4EC37" w14:textId="77777777" w:rsidR="00076EB7" w:rsidRPr="00076EB7" w:rsidRDefault="00076EB7" w:rsidP="00076EB7">
      <w:pPr>
        <w:pStyle w:val="BOFAS-standaardtekst"/>
        <w:numPr>
          <w:ilvl w:val="0"/>
          <w:numId w:val="20"/>
        </w:numPr>
        <w:ind w:left="360"/>
        <w:rPr>
          <w:lang w:val="fr-BE"/>
        </w:rPr>
      </w:pPr>
      <w:r w:rsidRPr="00076EB7">
        <w:rPr>
          <w:lang w:val="fr-BE"/>
        </w:rPr>
        <w:t>Mode de sécurité personnelle.</w:t>
      </w:r>
    </w:p>
    <w:p w14:paraId="77A6B911" w14:textId="77777777" w:rsidR="00076EB7" w:rsidRPr="00076EB7" w:rsidRDefault="00076EB7" w:rsidP="00076EB7">
      <w:pPr>
        <w:pStyle w:val="BOFAS-standaardtekst"/>
        <w:rPr>
          <w:lang w:val="fr-BE"/>
        </w:rPr>
      </w:pPr>
    </w:p>
    <w:p w14:paraId="5216CAA2" w14:textId="77777777" w:rsidR="00076EB7" w:rsidRPr="00076EB7" w:rsidRDefault="00076EB7" w:rsidP="00076EB7">
      <w:pPr>
        <w:pStyle w:val="BOFAS-standaardtekst"/>
        <w:rPr>
          <w:lang w:val="fr-BE"/>
        </w:rPr>
      </w:pPr>
      <w:r w:rsidRPr="00076EB7">
        <w:rPr>
          <w:lang w:val="fr-BE"/>
        </w:rPr>
        <w:t>Il est à noter que les résultats de mesure peuvent être biaisés en présence de méthane (CH4).</w:t>
      </w:r>
    </w:p>
    <w:p w14:paraId="4F68780D" w14:textId="77777777" w:rsidR="00076EB7" w:rsidRDefault="00076EB7" w:rsidP="00076EB7">
      <w:pPr>
        <w:pStyle w:val="BOFAS-standaardtekst"/>
        <w:rPr>
          <w:spacing w:val="-2"/>
          <w:lang w:val="fr-BE"/>
        </w:rPr>
      </w:pPr>
    </w:p>
    <w:p w14:paraId="75D26455" w14:textId="77777777" w:rsidR="00076EB7" w:rsidRPr="00076EB7" w:rsidRDefault="00076EB7" w:rsidP="00076EB7">
      <w:pPr>
        <w:pStyle w:val="BOFAS-standaardtekst"/>
        <w:rPr>
          <w:spacing w:val="-2"/>
          <w:lang w:val="fr-BE"/>
        </w:rPr>
      </w:pPr>
    </w:p>
    <w:p w14:paraId="23601A60" w14:textId="77777777" w:rsidR="00076EB7" w:rsidRPr="00076EB7" w:rsidRDefault="00076EB7" w:rsidP="00076EB7">
      <w:pPr>
        <w:pStyle w:val="Kop2"/>
        <w:rPr>
          <w:lang w:val="fr-BE"/>
        </w:rPr>
      </w:pPr>
      <w:bookmarkStart w:id="35" w:name="_Toc159917822"/>
      <w:bookmarkStart w:id="36" w:name="_Toc159924475"/>
      <w:bookmarkStart w:id="37" w:name="_Toc27564382"/>
      <w:r w:rsidRPr="00076EB7">
        <w:rPr>
          <w:lang w:val="fr-BE"/>
        </w:rPr>
        <w:t>L’utilisation d’appareils de détection mobile en continu pour l’oxygène, les gaz toxiques, inflammables ou explosifs</w:t>
      </w:r>
      <w:bookmarkEnd w:id="35"/>
      <w:bookmarkEnd w:id="36"/>
      <w:bookmarkEnd w:id="37"/>
    </w:p>
    <w:p w14:paraId="38E09457" w14:textId="77777777" w:rsidR="00076EB7" w:rsidRPr="00076EB7" w:rsidRDefault="00076EB7" w:rsidP="00076EB7">
      <w:pPr>
        <w:pStyle w:val="BOFAS-standaardtekst"/>
        <w:rPr>
          <w:lang w:val="fr-BE"/>
        </w:rPr>
      </w:pPr>
    </w:p>
    <w:p w14:paraId="2159910B" w14:textId="5FC50379" w:rsidR="001F2960" w:rsidRPr="001F2960" w:rsidRDefault="001F2960" w:rsidP="00076EB7">
      <w:pPr>
        <w:pStyle w:val="BOFAS-standaardtekst"/>
        <w:rPr>
          <w:spacing w:val="-2"/>
          <w:lang w:val="fr-BE"/>
        </w:rPr>
      </w:pPr>
      <w:r w:rsidRPr="001F2960">
        <w:rPr>
          <w:spacing w:val="-2"/>
          <w:lang w:val="fr-BE"/>
        </w:rPr>
        <w:t xml:space="preserve">Si lors de travaux (par exemple, à proximité de citernes, de zones excavées) des gaz inflammables ou explosifs sont susceptibles d'être libérés, il y a lieu d'utiliser un appareil de détection en fonctionnement continu pour en surveiller les risques. </w:t>
      </w:r>
      <w:r>
        <w:rPr>
          <w:spacing w:val="-2"/>
          <w:lang w:val="fr-BE"/>
        </w:rPr>
        <w:t>L’utilisation de cet appareil</w:t>
      </w:r>
      <w:r w:rsidRPr="001F2960">
        <w:rPr>
          <w:spacing w:val="-2"/>
          <w:lang w:val="fr-BE"/>
        </w:rPr>
        <w:t xml:space="preserve"> ne rend pas la surveillance des travaux en espace confiné superflue.</w:t>
      </w:r>
    </w:p>
    <w:p w14:paraId="247DB5E4" w14:textId="77777777" w:rsidR="001F2960" w:rsidRPr="00076EB7" w:rsidRDefault="001F2960" w:rsidP="00076EB7">
      <w:pPr>
        <w:pStyle w:val="BOFAS-standaardtekst"/>
        <w:rPr>
          <w:spacing w:val="-2"/>
          <w:lang w:val="fr-BE"/>
        </w:rPr>
      </w:pPr>
    </w:p>
    <w:p w14:paraId="2BF23C0C" w14:textId="77777777" w:rsidR="00076EB7" w:rsidRPr="00076EB7" w:rsidRDefault="00076EB7" w:rsidP="00076EB7">
      <w:pPr>
        <w:pStyle w:val="BOFAS-standaardtekst"/>
        <w:rPr>
          <w:spacing w:val="-2"/>
          <w:lang w:val="fr-BE"/>
        </w:rPr>
      </w:pPr>
      <w:r w:rsidRPr="00076EB7">
        <w:rPr>
          <w:spacing w:val="-2"/>
          <w:lang w:val="fr-BE"/>
        </w:rPr>
        <w:t>Les détecteurs doivent être en fonctionnement pendant toute la durée des travaux.</w:t>
      </w:r>
    </w:p>
    <w:p w14:paraId="06F655CE" w14:textId="77777777" w:rsidR="00076EB7" w:rsidRPr="00076EB7" w:rsidRDefault="00076EB7" w:rsidP="00076EB7">
      <w:pPr>
        <w:pStyle w:val="BOFAS-standaardtekst"/>
        <w:rPr>
          <w:spacing w:val="-2"/>
          <w:lang w:val="fr-BE"/>
        </w:rPr>
      </w:pPr>
      <w:r w:rsidRPr="00076EB7">
        <w:rPr>
          <w:spacing w:val="-2"/>
          <w:lang w:val="fr-BE"/>
        </w:rPr>
        <w:t xml:space="preserve">L’implantation des appareils de mesures doivent être indiqués par une </w:t>
      </w:r>
      <w:r w:rsidR="000F6A58" w:rsidRPr="00076EB7">
        <w:rPr>
          <w:spacing w:val="-2"/>
          <w:lang w:val="fr-BE"/>
        </w:rPr>
        <w:t>personne responsable</w:t>
      </w:r>
      <w:r w:rsidRPr="00076EB7">
        <w:rPr>
          <w:spacing w:val="-2"/>
          <w:lang w:val="fr-BE"/>
        </w:rPr>
        <w:t>.</w:t>
      </w:r>
    </w:p>
    <w:p w14:paraId="33467137" w14:textId="77777777" w:rsidR="00076EB7" w:rsidRPr="00076EB7" w:rsidRDefault="00076EB7" w:rsidP="00076EB7">
      <w:pPr>
        <w:pStyle w:val="BOFAS-standaardtekst"/>
        <w:rPr>
          <w:spacing w:val="-2"/>
          <w:lang w:val="fr-BE"/>
        </w:rPr>
      </w:pPr>
    </w:p>
    <w:p w14:paraId="3072195B" w14:textId="77777777" w:rsidR="00076EB7" w:rsidRPr="00076EB7" w:rsidRDefault="00076EB7" w:rsidP="00076EB7">
      <w:pPr>
        <w:pStyle w:val="BOFAS-standaardtekst"/>
        <w:rPr>
          <w:spacing w:val="-2"/>
          <w:lang w:val="fr-BE"/>
        </w:rPr>
      </w:pPr>
      <w:r w:rsidRPr="00076EB7">
        <w:rPr>
          <w:spacing w:val="-2"/>
          <w:lang w:val="fr-BE"/>
        </w:rPr>
        <w:t>L’utilisation des appareils n’est pas obligatoire si:</w:t>
      </w:r>
    </w:p>
    <w:p w14:paraId="244391C0" w14:textId="77777777" w:rsidR="00076EB7" w:rsidRPr="00076EB7" w:rsidRDefault="000F6A58" w:rsidP="00076EB7">
      <w:pPr>
        <w:pStyle w:val="BOFAS-standaardtekst"/>
        <w:numPr>
          <w:ilvl w:val="0"/>
          <w:numId w:val="23"/>
        </w:numPr>
        <w:rPr>
          <w:lang w:val="fr-BE"/>
        </w:rPr>
      </w:pPr>
      <w:r w:rsidRPr="00076EB7">
        <w:rPr>
          <w:lang w:val="fr-BE"/>
        </w:rPr>
        <w:t>Pendant</w:t>
      </w:r>
      <w:r w:rsidR="00076EB7" w:rsidRPr="00076EB7">
        <w:rPr>
          <w:lang w:val="fr-BE"/>
        </w:rPr>
        <w:t xml:space="preserve"> les travaux, il n</w:t>
      </w:r>
      <w:r>
        <w:rPr>
          <w:lang w:val="fr-BE"/>
        </w:rPr>
        <w:t>’</w:t>
      </w:r>
      <w:r w:rsidR="00076EB7" w:rsidRPr="00076EB7">
        <w:rPr>
          <w:lang w:val="fr-BE"/>
        </w:rPr>
        <w:t xml:space="preserve">y a pas de risque pour les </w:t>
      </w:r>
      <w:r w:rsidRPr="00076EB7">
        <w:rPr>
          <w:lang w:val="fr-BE"/>
        </w:rPr>
        <w:t>travailleurs et</w:t>
      </w:r>
      <w:r w:rsidR="00076EB7" w:rsidRPr="00076EB7">
        <w:rPr>
          <w:lang w:val="fr-BE"/>
        </w:rPr>
        <w:t>/ou pour les environs par la libération de gaz inflammables ou explosifs.</w:t>
      </w:r>
    </w:p>
    <w:p w14:paraId="4F3B367C" w14:textId="77777777" w:rsidR="00076EB7" w:rsidRPr="00076EB7" w:rsidRDefault="000F6A58" w:rsidP="00076EB7">
      <w:pPr>
        <w:pStyle w:val="BOFAS-standaardtekst"/>
        <w:numPr>
          <w:ilvl w:val="0"/>
          <w:numId w:val="23"/>
        </w:numPr>
        <w:rPr>
          <w:lang w:val="fr-BE"/>
        </w:rPr>
      </w:pPr>
      <w:r w:rsidRPr="00076EB7">
        <w:rPr>
          <w:lang w:val="fr-BE"/>
        </w:rPr>
        <w:t>Dans</w:t>
      </w:r>
      <w:r w:rsidR="00076EB7" w:rsidRPr="00076EB7">
        <w:rPr>
          <w:lang w:val="fr-BE"/>
        </w:rPr>
        <w:t xml:space="preserve"> le cas d’installations hors-</w:t>
      </w:r>
      <w:r w:rsidRPr="00076EB7">
        <w:rPr>
          <w:lang w:val="fr-BE"/>
        </w:rPr>
        <w:t>services, si</w:t>
      </w:r>
      <w:r w:rsidR="00076EB7" w:rsidRPr="00076EB7">
        <w:rPr>
          <w:lang w:val="fr-BE"/>
        </w:rPr>
        <w:t xml:space="preserve"> l’installation est dégazée et que pendant les travaux, il n’y a pas de risque pour les travailleurs et/ou pour les environs par la libération de gaz inflammables ou explosifs.</w:t>
      </w:r>
    </w:p>
    <w:p w14:paraId="2DA614AE" w14:textId="77777777" w:rsidR="00076EB7" w:rsidRPr="00076EB7" w:rsidRDefault="00076EB7" w:rsidP="00076EB7">
      <w:pPr>
        <w:pStyle w:val="BOFAS-standaardtekst"/>
        <w:rPr>
          <w:lang w:val="fr-BE"/>
        </w:rPr>
      </w:pPr>
    </w:p>
    <w:p w14:paraId="577424B0" w14:textId="77777777" w:rsidR="00076EB7" w:rsidRPr="00076EB7" w:rsidRDefault="00076EB7" w:rsidP="00076EB7">
      <w:pPr>
        <w:pStyle w:val="BOFAS-standaardtekst"/>
        <w:rPr>
          <w:lang w:val="fr-BE"/>
        </w:rPr>
      </w:pPr>
      <w:r w:rsidRPr="00076EB7">
        <w:rPr>
          <w:lang w:val="fr-BE"/>
        </w:rPr>
        <w:t>L’obligation d’utilisation d’appareils de détection mobiles travaillant en continu doit être mentionnée dans le permis de travail.</w:t>
      </w:r>
    </w:p>
    <w:p w14:paraId="1DB046BC" w14:textId="77777777" w:rsidR="00076EB7" w:rsidRPr="00076EB7" w:rsidRDefault="00076EB7" w:rsidP="00076EB7">
      <w:pPr>
        <w:pStyle w:val="BOFAS-standaardtekst"/>
        <w:rPr>
          <w:lang w:val="fr-BE"/>
        </w:rPr>
      </w:pPr>
    </w:p>
    <w:p w14:paraId="0E966920" w14:textId="77777777" w:rsidR="00076EB7" w:rsidRPr="00076EB7" w:rsidRDefault="00076EB7" w:rsidP="00076EB7">
      <w:pPr>
        <w:pStyle w:val="BOFAS-standaardtekst"/>
        <w:rPr>
          <w:lang w:val="fr-BE"/>
        </w:rPr>
      </w:pPr>
      <w:r w:rsidRPr="00076EB7">
        <w:rPr>
          <w:lang w:val="fr-BE"/>
        </w:rPr>
        <w:t>Dès que l’app</w:t>
      </w:r>
      <w:r>
        <w:rPr>
          <w:lang w:val="fr-BE"/>
        </w:rPr>
        <w:t>a</w:t>
      </w:r>
      <w:r w:rsidRPr="00076EB7">
        <w:rPr>
          <w:lang w:val="fr-BE"/>
        </w:rPr>
        <w:t xml:space="preserve">reil de détection signale la présence de gaz inflammables et que l’alarme sonore (et lumineuses) s’enclenche, tous les travaux doivent être arrêtés immédiatement. </w:t>
      </w:r>
    </w:p>
    <w:p w14:paraId="3B4BA766" w14:textId="77777777" w:rsidR="00076EB7" w:rsidRPr="00076EB7" w:rsidRDefault="00076EB7" w:rsidP="00076EB7">
      <w:pPr>
        <w:pStyle w:val="BOFAS-standaardtekst"/>
        <w:rPr>
          <w:lang w:val="fr-BE"/>
        </w:rPr>
      </w:pPr>
      <w:r w:rsidRPr="00076EB7">
        <w:rPr>
          <w:lang w:val="fr-BE"/>
        </w:rPr>
        <w:t>La source du danger doit être éliminée le plus rapidement possible.</w:t>
      </w:r>
    </w:p>
    <w:p w14:paraId="6061C56D" w14:textId="77777777" w:rsidR="00076EB7" w:rsidRPr="00076EB7" w:rsidRDefault="00076EB7" w:rsidP="00076EB7">
      <w:pPr>
        <w:pStyle w:val="BOFAS-standaardtekst"/>
        <w:rPr>
          <w:vanish/>
          <w:lang w:val="fr-BE"/>
        </w:rPr>
      </w:pPr>
    </w:p>
    <w:p w14:paraId="21DFCA7B" w14:textId="77777777" w:rsidR="00076EB7" w:rsidRPr="00076EB7" w:rsidRDefault="00076EB7" w:rsidP="00076EB7">
      <w:pPr>
        <w:pStyle w:val="BOFAS-standaardtekst"/>
        <w:rPr>
          <w:lang w:val="fr-BE"/>
        </w:rPr>
      </w:pPr>
    </w:p>
    <w:p w14:paraId="21678908" w14:textId="77777777" w:rsidR="00076EB7" w:rsidRPr="00076EB7" w:rsidRDefault="00076EB7" w:rsidP="000F6A58">
      <w:pPr>
        <w:pStyle w:val="Kop2"/>
        <w:rPr>
          <w:lang w:val="fr-BE"/>
        </w:rPr>
      </w:pPr>
      <w:r w:rsidRPr="00076EB7">
        <w:rPr>
          <w:lang w:val="fr-BE"/>
        </w:rPr>
        <w:br w:type="page"/>
      </w:r>
      <w:bookmarkStart w:id="38" w:name="_Toc159917823"/>
      <w:bookmarkStart w:id="39" w:name="_Toc159924476"/>
      <w:bookmarkStart w:id="40" w:name="_Toc27564383"/>
      <w:r w:rsidRPr="00076EB7">
        <w:rPr>
          <w:lang w:val="fr-BE"/>
        </w:rPr>
        <w:lastRenderedPageBreak/>
        <w:t>Entretien et étalonnage</w:t>
      </w:r>
      <w:bookmarkEnd w:id="38"/>
      <w:bookmarkEnd w:id="39"/>
      <w:bookmarkEnd w:id="40"/>
    </w:p>
    <w:p w14:paraId="1C00C22A" w14:textId="77777777" w:rsidR="00076EB7" w:rsidRPr="00076EB7" w:rsidRDefault="00076EB7" w:rsidP="00076EB7">
      <w:pPr>
        <w:pStyle w:val="BOFAS-standaardtekst"/>
        <w:rPr>
          <w:spacing w:val="-2"/>
          <w:lang w:val="fr-BE"/>
        </w:rPr>
      </w:pPr>
    </w:p>
    <w:p w14:paraId="642578F5" w14:textId="77777777" w:rsidR="00076EB7" w:rsidRPr="00076EB7" w:rsidRDefault="00076EB7" w:rsidP="00076EB7">
      <w:pPr>
        <w:pStyle w:val="BOFAS-standaardtekst"/>
        <w:rPr>
          <w:spacing w:val="-2"/>
          <w:lang w:val="fr-BE"/>
        </w:rPr>
      </w:pPr>
      <w:r w:rsidRPr="00076EB7">
        <w:rPr>
          <w:spacing w:val="-2"/>
          <w:lang w:val="fr-BE"/>
        </w:rPr>
        <w:t>Des mesures correctes et fiables (répétitives) peuvent être obtenues à condition que l’utilisateur fasse étalonner régulièrement les appareils de mesures. C’est aussi aux personnes compétentes pour l’exécution des mesures que revient la responsabilité d’étalonner à temps leurs appareils et de déterminer les dates d’étalonnage.</w:t>
      </w:r>
    </w:p>
    <w:p w14:paraId="0C9E3596" w14:textId="77777777" w:rsidR="00076EB7" w:rsidRDefault="00076EB7" w:rsidP="00076EB7">
      <w:pPr>
        <w:pStyle w:val="BOFAS-standaardtekst"/>
        <w:rPr>
          <w:spacing w:val="-2"/>
          <w:lang w:val="fr-BE"/>
        </w:rPr>
      </w:pPr>
    </w:p>
    <w:p w14:paraId="2C7A6228" w14:textId="77777777" w:rsidR="00076EB7" w:rsidRPr="00076EB7" w:rsidRDefault="00076EB7" w:rsidP="00076EB7">
      <w:pPr>
        <w:pStyle w:val="BOFAS-standaardtekst"/>
        <w:rPr>
          <w:spacing w:val="-2"/>
          <w:lang w:val="fr-BE"/>
        </w:rPr>
      </w:pPr>
    </w:p>
    <w:p w14:paraId="6E1467E1" w14:textId="77777777" w:rsidR="00076EB7" w:rsidRPr="00076EB7" w:rsidRDefault="00076EB7" w:rsidP="00076EB7">
      <w:pPr>
        <w:pStyle w:val="Kop3"/>
        <w:rPr>
          <w:lang w:val="fr-BE"/>
        </w:rPr>
      </w:pPr>
      <w:bookmarkStart w:id="41" w:name="_Toc27564384"/>
      <w:r w:rsidRPr="00076EB7">
        <w:rPr>
          <w:lang w:val="fr-BE"/>
        </w:rPr>
        <w:t>Identification</w:t>
      </w:r>
      <w:bookmarkEnd w:id="41"/>
    </w:p>
    <w:p w14:paraId="1FE20A4B" w14:textId="77777777" w:rsidR="00076EB7" w:rsidRDefault="00076EB7" w:rsidP="00076EB7">
      <w:pPr>
        <w:pStyle w:val="BOFAS-standaardtekst"/>
        <w:rPr>
          <w:spacing w:val="-2"/>
          <w:lang w:val="fr-BE"/>
        </w:rPr>
      </w:pPr>
    </w:p>
    <w:p w14:paraId="3DB193EC" w14:textId="3FC1D6BD" w:rsidR="00076EB7" w:rsidRPr="00076EB7" w:rsidRDefault="00076EB7" w:rsidP="00076EB7">
      <w:pPr>
        <w:pStyle w:val="BOFAS-standaardtekst"/>
        <w:rPr>
          <w:spacing w:val="-2"/>
          <w:lang w:val="fr-BE"/>
        </w:rPr>
      </w:pPr>
      <w:bookmarkStart w:id="42" w:name="_Hlk28866589"/>
      <w:r w:rsidRPr="00076EB7">
        <w:rPr>
          <w:spacing w:val="-2"/>
          <w:lang w:val="fr-BE"/>
        </w:rPr>
        <w:t>Sur chaque appareil figure un autocollant mentionnant le numéro de l’appareil, le service</w:t>
      </w:r>
      <w:r w:rsidR="0015666F">
        <w:rPr>
          <w:spacing w:val="-2"/>
          <w:lang w:val="fr-BE"/>
        </w:rPr>
        <w:t xml:space="preserve"> technique</w:t>
      </w:r>
      <w:r w:rsidRPr="00076EB7">
        <w:rPr>
          <w:spacing w:val="-2"/>
          <w:lang w:val="fr-BE"/>
        </w:rPr>
        <w:t>, la prochaine date d’étalonnage et la date limite d’utilisation.</w:t>
      </w:r>
    </w:p>
    <w:p w14:paraId="608492CF" w14:textId="77777777" w:rsidR="00076EB7" w:rsidRDefault="00076EB7" w:rsidP="00076EB7">
      <w:pPr>
        <w:pStyle w:val="BOFAS-standaardtekst"/>
        <w:rPr>
          <w:spacing w:val="-2"/>
          <w:lang w:val="fr-BE"/>
        </w:rPr>
      </w:pPr>
    </w:p>
    <w:p w14:paraId="5900F361" w14:textId="77777777" w:rsidR="00076EB7" w:rsidRPr="00076EB7" w:rsidRDefault="00076EB7" w:rsidP="00076EB7">
      <w:pPr>
        <w:pStyle w:val="BOFAS-standaardtekst"/>
        <w:rPr>
          <w:spacing w:val="-2"/>
          <w:lang w:val="fr-BE"/>
        </w:rPr>
      </w:pPr>
    </w:p>
    <w:p w14:paraId="1485A476" w14:textId="77777777" w:rsidR="00076EB7" w:rsidRPr="00076EB7" w:rsidRDefault="00076EB7" w:rsidP="00076EB7">
      <w:pPr>
        <w:pStyle w:val="Kop3"/>
        <w:rPr>
          <w:lang w:val="fr-BE"/>
        </w:rPr>
      </w:pPr>
      <w:bookmarkStart w:id="43" w:name="_Toc27564385"/>
      <w:bookmarkEnd w:id="42"/>
      <w:r w:rsidRPr="00076EB7">
        <w:rPr>
          <w:lang w:val="fr-BE"/>
        </w:rPr>
        <w:t>Date d’étalonnage et date de validité</w:t>
      </w:r>
      <w:bookmarkEnd w:id="43"/>
    </w:p>
    <w:p w14:paraId="6602FCA3" w14:textId="77777777" w:rsidR="00076EB7" w:rsidRDefault="00076EB7" w:rsidP="00076EB7">
      <w:pPr>
        <w:pStyle w:val="BOFAS-standaardtekst"/>
        <w:rPr>
          <w:spacing w:val="-2"/>
          <w:lang w:val="fr-BE"/>
        </w:rPr>
      </w:pPr>
    </w:p>
    <w:p w14:paraId="1BA2D4C8" w14:textId="77777777" w:rsidR="00076EB7" w:rsidRDefault="00076EB7" w:rsidP="00076EB7">
      <w:pPr>
        <w:pStyle w:val="BOFAS-standaardtekst"/>
        <w:rPr>
          <w:spacing w:val="-2"/>
          <w:lang w:val="fr-BE"/>
        </w:rPr>
      </w:pPr>
      <w:r w:rsidRPr="00076EB7">
        <w:rPr>
          <w:spacing w:val="-2"/>
          <w:lang w:val="fr-BE"/>
        </w:rPr>
        <w:t xml:space="preserve">L’appareil de mesures renseigne lui-même la prochaine date d’étalonnage. Si le détecteur n’est pas livré à temps à un laboratoire pour étalonnage, celui-ci ne pourra plus être utilisé pour prendre des mesures tant que cet étalonnage ne sera pas exécuté. </w:t>
      </w:r>
    </w:p>
    <w:p w14:paraId="50C9AEC8" w14:textId="77777777" w:rsidR="000F6A58" w:rsidRPr="00076EB7" w:rsidRDefault="000F6A58" w:rsidP="00076EB7">
      <w:pPr>
        <w:pStyle w:val="BOFAS-standaardtekst"/>
        <w:rPr>
          <w:spacing w:val="-2"/>
          <w:lang w:val="fr-BE"/>
        </w:rPr>
      </w:pPr>
    </w:p>
    <w:p w14:paraId="64431C59" w14:textId="77777777" w:rsidR="00076EB7" w:rsidRPr="00076EB7" w:rsidRDefault="00076EB7" w:rsidP="00076EB7">
      <w:pPr>
        <w:pStyle w:val="BOFAS-standaardtekst"/>
        <w:rPr>
          <w:spacing w:val="-2"/>
          <w:lang w:val="fr-BE"/>
        </w:rPr>
      </w:pPr>
      <w:r w:rsidRPr="00076EB7">
        <w:rPr>
          <w:spacing w:val="-2"/>
          <w:lang w:val="fr-BE"/>
        </w:rPr>
        <w:t>La date limite de validité est liée à un module de senseurs qui se trouve dans le détecteur. Celle-ci est disponible à la demande du fournisseur du détecteur, mais la plupart des détecteurs doivent être remplacés chaque année.</w:t>
      </w:r>
    </w:p>
    <w:p w14:paraId="7DA37F89" w14:textId="77777777" w:rsidR="00076EB7" w:rsidRDefault="00076EB7" w:rsidP="00076EB7">
      <w:pPr>
        <w:pStyle w:val="BOFAS-standaardtekst"/>
        <w:rPr>
          <w:spacing w:val="-2"/>
          <w:lang w:val="fr-BE"/>
        </w:rPr>
      </w:pPr>
    </w:p>
    <w:p w14:paraId="0460989E" w14:textId="77777777" w:rsidR="00076EB7" w:rsidRPr="00076EB7" w:rsidRDefault="00076EB7" w:rsidP="00076EB7">
      <w:pPr>
        <w:pStyle w:val="BOFAS-standaardtekst"/>
        <w:rPr>
          <w:spacing w:val="-2"/>
          <w:lang w:val="fr-BE"/>
        </w:rPr>
      </w:pPr>
    </w:p>
    <w:p w14:paraId="08CBA3F8" w14:textId="77777777" w:rsidR="00076EB7" w:rsidRPr="00076EB7" w:rsidRDefault="00076EB7" w:rsidP="00076EB7">
      <w:pPr>
        <w:pStyle w:val="Kop3"/>
        <w:rPr>
          <w:lang w:val="fr-BE"/>
        </w:rPr>
      </w:pPr>
      <w:bookmarkStart w:id="44" w:name="_Toc27564386"/>
      <w:r w:rsidRPr="00076EB7">
        <w:rPr>
          <w:lang w:val="fr-BE"/>
        </w:rPr>
        <w:t>Défauts ou résultats anormaux</w:t>
      </w:r>
      <w:bookmarkEnd w:id="44"/>
    </w:p>
    <w:p w14:paraId="075E07E9" w14:textId="77777777" w:rsidR="00076EB7" w:rsidRDefault="00076EB7" w:rsidP="00076EB7">
      <w:pPr>
        <w:pStyle w:val="BOFAS-standaardtekst"/>
        <w:rPr>
          <w:spacing w:val="-2"/>
          <w:lang w:val="fr-BE"/>
        </w:rPr>
      </w:pPr>
    </w:p>
    <w:p w14:paraId="3D622C91" w14:textId="77777777" w:rsidR="00076EB7" w:rsidRPr="00076EB7" w:rsidRDefault="00076EB7" w:rsidP="00076EB7">
      <w:pPr>
        <w:pStyle w:val="BOFAS-standaardtekst"/>
        <w:rPr>
          <w:spacing w:val="-2"/>
          <w:lang w:val="fr-BE"/>
        </w:rPr>
      </w:pPr>
      <w:r w:rsidRPr="00076EB7">
        <w:rPr>
          <w:spacing w:val="-2"/>
          <w:lang w:val="fr-BE"/>
        </w:rPr>
        <w:t>Défauts ou pannes doivent être signalés immédiatement au service responsable ou à l’organisation qui s’occupe des réparations ou de l’étalonnage.</w:t>
      </w:r>
    </w:p>
    <w:p w14:paraId="7A5495FB" w14:textId="77777777" w:rsidR="00076EB7" w:rsidRPr="00076EB7" w:rsidRDefault="00076EB7" w:rsidP="00076EB7">
      <w:pPr>
        <w:pStyle w:val="BOFAS-standaardtekst"/>
        <w:rPr>
          <w:lang w:val="fr-BE"/>
        </w:rPr>
      </w:pPr>
    </w:p>
    <w:p w14:paraId="1A0AC030" w14:textId="77777777" w:rsidR="00076EB7" w:rsidRPr="00076EB7" w:rsidRDefault="00076EB7" w:rsidP="00076EB7">
      <w:pPr>
        <w:pStyle w:val="BOFAS-standaardtekst"/>
        <w:rPr>
          <w:lang w:val="fr-BE"/>
        </w:rPr>
      </w:pPr>
      <w:r w:rsidRPr="00076EB7">
        <w:rPr>
          <w:lang w:val="fr-BE"/>
        </w:rPr>
        <w:t>Toutes les informations concernant l’entretien et l’étalonnage des détecteurs doivent être disponibles à tout instant.</w:t>
      </w:r>
    </w:p>
    <w:p w14:paraId="297BAA9C" w14:textId="77777777" w:rsidR="00076EB7" w:rsidRPr="00076EB7" w:rsidRDefault="00076EB7" w:rsidP="00076EB7">
      <w:pPr>
        <w:pStyle w:val="BOFAS-standaardtekst"/>
        <w:rPr>
          <w:spacing w:val="-3"/>
          <w:lang w:val="fr-BE"/>
        </w:rPr>
      </w:pPr>
    </w:p>
    <w:p w14:paraId="084CECDB" w14:textId="77777777" w:rsidR="00076EB7" w:rsidRPr="00076EB7" w:rsidRDefault="00076EB7" w:rsidP="00076EB7">
      <w:pPr>
        <w:numPr>
          <w:ilvl w:val="12"/>
          <w:numId w:val="0"/>
        </w:numPr>
        <w:rPr>
          <w:lang w:val="fr-BE"/>
        </w:rPr>
      </w:pPr>
    </w:p>
    <w:p w14:paraId="0A273A4B" w14:textId="77777777" w:rsidR="00076EB7" w:rsidRPr="00076EB7" w:rsidRDefault="00076EB7" w:rsidP="00076EB7">
      <w:pPr>
        <w:pStyle w:val="Kop1"/>
        <w:rPr>
          <w:lang w:val="fr-BE"/>
        </w:rPr>
      </w:pPr>
      <w:bookmarkStart w:id="45" w:name="_Toc159917824"/>
      <w:bookmarkStart w:id="46" w:name="_Toc159924477"/>
      <w:bookmarkStart w:id="47" w:name="_Toc27564387"/>
      <w:r w:rsidRPr="00076EB7">
        <w:rPr>
          <w:lang w:val="fr-BE"/>
        </w:rPr>
        <w:t>Références</w:t>
      </w:r>
      <w:bookmarkEnd w:id="45"/>
      <w:bookmarkEnd w:id="46"/>
      <w:bookmarkEnd w:id="47"/>
    </w:p>
    <w:p w14:paraId="1DF41395" w14:textId="77777777" w:rsidR="00076EB7" w:rsidRPr="00076EB7" w:rsidRDefault="00076EB7" w:rsidP="000F6A58">
      <w:pPr>
        <w:pStyle w:val="BOFAS-standaardtekst"/>
        <w:rPr>
          <w:lang w:val="fr-BE"/>
        </w:rPr>
      </w:pPr>
    </w:p>
    <w:p w14:paraId="37A007C8" w14:textId="57557536" w:rsidR="00076EB7" w:rsidRPr="00076EB7" w:rsidRDefault="00076EB7" w:rsidP="000F6A58">
      <w:pPr>
        <w:pStyle w:val="BOFAS-standaardtekst"/>
        <w:numPr>
          <w:ilvl w:val="0"/>
          <w:numId w:val="24"/>
        </w:numPr>
        <w:rPr>
          <w:lang w:val="fr-BE"/>
        </w:rPr>
      </w:pPr>
      <w:r w:rsidRPr="00076EB7">
        <w:rPr>
          <w:lang w:val="fr-BE"/>
        </w:rPr>
        <w:t xml:space="preserve">CODEX </w:t>
      </w:r>
      <w:r w:rsidR="00E7062E">
        <w:rPr>
          <w:lang w:val="fr-BE"/>
        </w:rPr>
        <w:t>sur le b</w:t>
      </w:r>
      <w:r w:rsidRPr="00076EB7">
        <w:rPr>
          <w:lang w:val="fr-BE"/>
        </w:rPr>
        <w:t>ien-être au travail</w:t>
      </w:r>
      <w:r w:rsidR="00E7062E">
        <w:rPr>
          <w:lang w:val="fr-BE"/>
        </w:rPr>
        <w:t> ;</w:t>
      </w:r>
    </w:p>
    <w:p w14:paraId="11575688" w14:textId="542E35A0" w:rsidR="00076EB7" w:rsidRPr="00076EB7" w:rsidRDefault="00E7062E" w:rsidP="000F6A58">
      <w:pPr>
        <w:pStyle w:val="BOFAS-standaardtekst"/>
        <w:numPr>
          <w:ilvl w:val="0"/>
          <w:numId w:val="24"/>
        </w:numPr>
        <w:rPr>
          <w:lang w:val="fr-BE"/>
        </w:rPr>
      </w:pPr>
      <w:r w:rsidRPr="00076EB7">
        <w:rPr>
          <w:lang w:val="fr-BE"/>
        </w:rPr>
        <w:t>Procédure </w:t>
      </w:r>
      <w:r w:rsidR="00076EB7" w:rsidRPr="00076EB7">
        <w:rPr>
          <w:lang w:val="fr-BE"/>
        </w:rPr>
        <w:t xml:space="preserve">T5210 L’accès </w:t>
      </w:r>
      <w:r>
        <w:rPr>
          <w:lang w:val="fr-BE"/>
        </w:rPr>
        <w:t xml:space="preserve">aux </w:t>
      </w:r>
      <w:r w:rsidR="00076EB7" w:rsidRPr="00076EB7">
        <w:rPr>
          <w:lang w:val="fr-BE"/>
        </w:rPr>
        <w:t>espaces confinés</w:t>
      </w:r>
      <w:r>
        <w:rPr>
          <w:lang w:val="fr-BE"/>
        </w:rPr>
        <w:t> ;</w:t>
      </w:r>
    </w:p>
    <w:p w14:paraId="5E9F4ED6" w14:textId="0BCC3018" w:rsidR="00076EB7" w:rsidRPr="00076EB7" w:rsidRDefault="00E7062E" w:rsidP="000F6A58">
      <w:pPr>
        <w:pStyle w:val="BOFAS-standaardtekst"/>
        <w:numPr>
          <w:ilvl w:val="0"/>
          <w:numId w:val="24"/>
        </w:numPr>
        <w:rPr>
          <w:lang w:val="fr-BE"/>
        </w:rPr>
      </w:pPr>
      <w:r w:rsidRPr="00076EB7">
        <w:rPr>
          <w:lang w:val="fr-BE"/>
        </w:rPr>
        <w:t xml:space="preserve">Procédure </w:t>
      </w:r>
      <w:r w:rsidR="00076EB7" w:rsidRPr="00076EB7">
        <w:rPr>
          <w:lang w:val="fr-BE"/>
        </w:rPr>
        <w:t>T5130</w:t>
      </w:r>
      <w:r>
        <w:rPr>
          <w:lang w:val="fr-BE"/>
        </w:rPr>
        <w:t xml:space="preserve"> </w:t>
      </w:r>
      <w:r w:rsidR="00076EB7" w:rsidRPr="00076EB7">
        <w:rPr>
          <w:lang w:val="fr-BE"/>
        </w:rPr>
        <w:t xml:space="preserve">Monitoring air et moyens </w:t>
      </w:r>
      <w:r>
        <w:rPr>
          <w:lang w:val="fr-BE"/>
        </w:rPr>
        <w:t xml:space="preserve">de </w:t>
      </w:r>
      <w:r w:rsidR="00076EB7" w:rsidRPr="00076EB7">
        <w:rPr>
          <w:lang w:val="fr-BE"/>
        </w:rPr>
        <w:t>protection individuels</w:t>
      </w:r>
      <w:r>
        <w:rPr>
          <w:lang w:val="fr-BE"/>
        </w:rPr>
        <w:t>.</w:t>
      </w:r>
    </w:p>
    <w:p w14:paraId="20A040C2" w14:textId="77777777" w:rsidR="00076EB7" w:rsidRPr="00076EB7" w:rsidRDefault="00076EB7" w:rsidP="00076EB7">
      <w:pPr>
        <w:rPr>
          <w:lang w:val="fr-BE"/>
        </w:rPr>
      </w:pPr>
    </w:p>
    <w:p w14:paraId="3EE12439" w14:textId="77777777" w:rsidR="00076EB7" w:rsidRPr="00076EB7" w:rsidRDefault="00076EB7" w:rsidP="00076EB7">
      <w:pPr>
        <w:numPr>
          <w:ilvl w:val="12"/>
          <w:numId w:val="0"/>
        </w:numPr>
        <w:rPr>
          <w:lang w:val="fr-BE"/>
        </w:rPr>
      </w:pPr>
    </w:p>
    <w:p w14:paraId="5E377F10" w14:textId="77777777" w:rsidR="00E156F3" w:rsidRPr="00076EB7" w:rsidRDefault="00E156F3" w:rsidP="00E640D0">
      <w:pPr>
        <w:tabs>
          <w:tab w:val="left" w:pos="2570"/>
        </w:tabs>
        <w:rPr>
          <w:rFonts w:eastAsia="Times New Roman" w:cs="Times New Roman"/>
          <w:lang w:val="fr-BE"/>
        </w:rPr>
      </w:pPr>
    </w:p>
    <w:sectPr w:rsidR="00E156F3" w:rsidRPr="00076EB7" w:rsidSect="00B66DA1">
      <w:headerReference w:type="default" r:id="rId8"/>
      <w:footerReference w:type="default" r:id="rId9"/>
      <w:pgSz w:w="11906" w:h="16838" w:code="9"/>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996C" w14:textId="77777777" w:rsidR="00E135B9" w:rsidRDefault="00E135B9" w:rsidP="005A5AFF">
      <w:r>
        <w:separator/>
      </w:r>
    </w:p>
  </w:endnote>
  <w:endnote w:type="continuationSeparator" w:id="0">
    <w:p w14:paraId="2F4C15B1" w14:textId="77777777" w:rsidR="00E135B9" w:rsidRDefault="00E135B9"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mercialPi BT">
    <w:panose1 w:val="05020102010206080802"/>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lang w:val="fr-BE"/>
      </w:rPr>
      <w:id w:val="-1871526578"/>
      <w:docPartObj>
        <w:docPartGallery w:val="Page Numbers (Bottom of Page)"/>
        <w:docPartUnique/>
      </w:docPartObj>
    </w:sdtPr>
    <w:sdtEndPr>
      <w:rPr>
        <w:lang w:val="nl-BE"/>
      </w:rPr>
    </w:sdtEndPr>
    <w:sdtContent>
      <w:p w14:paraId="373D6FB7" w14:textId="57C6C785" w:rsidR="00E156F3" w:rsidRPr="00390062" w:rsidRDefault="00E156F3" w:rsidP="00E156F3">
        <w:pPr>
          <w:pStyle w:val="Voettekst"/>
          <w:rPr>
            <w:sz w:val="20"/>
            <w:lang w:val="fr-BE"/>
          </w:rPr>
        </w:pPr>
        <w:r w:rsidRPr="00390062">
          <w:rPr>
            <w:noProof/>
            <w:sz w:val="20"/>
            <w:lang w:val="fr-BE" w:eastAsia="nl-BE"/>
          </w:rPr>
          <mc:AlternateContent>
            <mc:Choice Requires="wps">
              <w:drawing>
                <wp:anchor distT="0" distB="0" distL="114300" distR="114300" simplePos="0" relativeHeight="251687936" behindDoc="0" locked="0" layoutInCell="1" allowOverlap="1" wp14:anchorId="59893B6C" wp14:editId="00B98796">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4EB60F97" w14:textId="77777777" w:rsidR="00E156F3" w:rsidRDefault="00E156F3" w:rsidP="00E15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93B6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879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" adj="21600" fillcolor="#009ade" stroked="f">
                  <v:fill color2="#82c33c" rotate="t" angle="315" colors="0 #009ade;.5 #92d050;1 #82c33c" focus="100%" type="gradient"/>
                  <v:textbox>
                    <w:txbxContent>
                      <w:p w14:paraId="4EB60F97" w14:textId="77777777" w:rsidR="00E156F3" w:rsidRDefault="00E156F3" w:rsidP="00E156F3"/>
                    </w:txbxContent>
                  </v:textbox>
                  <w10:wrap anchorx="page" anchory="page"/>
                </v:shape>
              </w:pict>
            </mc:Fallback>
          </mc:AlternateContent>
        </w:r>
        <w:r w:rsidR="005642A5" w:rsidRPr="00390062">
          <w:rPr>
            <w:sz w:val="20"/>
            <w:lang w:val="fr-BE"/>
          </w:rPr>
          <w:t>Date d’impression</w:t>
        </w:r>
        <w:r w:rsidRPr="00390062">
          <w:rPr>
            <w:sz w:val="20"/>
            <w:lang w:val="fr-BE"/>
          </w:rPr>
          <w:t xml:space="preserve">: </w:t>
        </w:r>
        <w:r w:rsidRPr="00390062">
          <w:rPr>
            <w:sz w:val="20"/>
            <w:lang w:val="fr-BE"/>
          </w:rPr>
          <w:fldChar w:fldCharType="begin"/>
        </w:r>
        <w:r w:rsidRPr="00390062">
          <w:rPr>
            <w:sz w:val="20"/>
            <w:lang w:val="fr-BE"/>
          </w:rPr>
          <w:instrText xml:space="preserve"> TIME \@ "d/MM/yyyy" </w:instrText>
        </w:r>
        <w:r w:rsidRPr="00390062">
          <w:rPr>
            <w:sz w:val="20"/>
            <w:lang w:val="fr-BE"/>
          </w:rPr>
          <w:fldChar w:fldCharType="separate"/>
        </w:r>
        <w:r w:rsidR="00ED759C">
          <w:rPr>
            <w:noProof/>
            <w:sz w:val="20"/>
            <w:lang w:val="fr-BE"/>
          </w:rPr>
          <w:t>6/01/2020</w:t>
        </w:r>
        <w:r w:rsidRPr="00390062">
          <w:rPr>
            <w:sz w:val="20"/>
            <w:lang w:val="fr-BE"/>
          </w:rPr>
          <w:fldChar w:fldCharType="end"/>
        </w:r>
      </w:p>
      <w:p w14:paraId="4AF39679" w14:textId="3B00199E" w:rsidR="00E156F3" w:rsidRPr="00E156F3" w:rsidRDefault="00E156F3">
        <w:pPr>
          <w:pStyle w:val="Voettekst"/>
          <w:rPr>
            <w:sz w:val="20"/>
          </w:rPr>
        </w:pPr>
        <w:r w:rsidRPr="00F95219">
          <w:rPr>
            <w:noProof/>
            <w:sz w:val="20"/>
            <w:lang w:eastAsia="nl-BE"/>
          </w:rPr>
          <mc:AlternateContent>
            <mc:Choice Requires="wps">
              <w:drawing>
                <wp:anchor distT="0" distB="0" distL="114300" distR="114300" simplePos="0" relativeHeight="251688960" behindDoc="0" locked="1" layoutInCell="1" allowOverlap="1" wp14:anchorId="689347CD" wp14:editId="75367A28">
                  <wp:simplePos x="0" y="0"/>
                  <wp:positionH relativeFrom="page">
                    <wp:posOffset>6835140</wp:posOffset>
                  </wp:positionH>
                  <wp:positionV relativeFrom="paragraph">
                    <wp:posOffset>208915</wp:posOffset>
                  </wp:positionV>
                  <wp:extent cx="723900" cy="273050"/>
                  <wp:effectExtent l="0" t="0" r="0" b="0"/>
                  <wp:wrapNone/>
                  <wp:docPr id="1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C7F8B" w14:textId="77777777" w:rsidR="00E156F3" w:rsidRPr="006F2788" w:rsidRDefault="00E156F3" w:rsidP="00E156F3">
                              <w:pPr>
                                <w:rPr>
                                  <w:sz w:val="20"/>
                                </w:rPr>
                              </w:pPr>
                              <w:r>
                                <w:rPr>
                                  <w:b/>
                                  <w:sz w:val="20"/>
                                </w:rPr>
                                <w:t>p.</w:t>
                              </w:r>
                              <w:r w:rsidRPr="00E156F3">
                                <w:rPr>
                                  <w:b/>
                                  <w:sz w:val="20"/>
                                </w:rPr>
                                <w:fldChar w:fldCharType="begin"/>
                              </w:r>
                              <w:r w:rsidRPr="00E156F3">
                                <w:rPr>
                                  <w:b/>
                                  <w:sz w:val="20"/>
                                </w:rPr>
                                <w:instrText>PAGE  \* Arabic  \* MERGEFORMAT</w:instrText>
                              </w:r>
                              <w:r w:rsidRPr="00E156F3">
                                <w:rPr>
                                  <w:b/>
                                  <w:sz w:val="20"/>
                                </w:rPr>
                                <w:fldChar w:fldCharType="separate"/>
                              </w:r>
                              <w:r w:rsidRPr="00E156F3">
                                <w:rPr>
                                  <w:b/>
                                  <w:noProof/>
                                  <w:sz w:val="20"/>
                                  <w:lang w:val="nl-NL"/>
                                </w:rPr>
                                <w:t>1</w:t>
                              </w:r>
                              <w:r w:rsidRPr="00E156F3">
                                <w:rPr>
                                  <w:b/>
                                  <w:sz w:val="20"/>
                                </w:rPr>
                                <w:fldChar w:fldCharType="end"/>
                              </w:r>
                              <w:r>
                                <w:rPr>
                                  <w:sz w:val="20"/>
                                  <w:lang w:val="nl-NL"/>
                                </w:rPr>
                                <w:t>/</w:t>
                              </w:r>
                              <w:r w:rsidRPr="00E156F3">
                                <w:rPr>
                                  <w:b/>
                                  <w:sz w:val="20"/>
                                </w:rPr>
                                <w:fldChar w:fldCharType="begin"/>
                              </w:r>
                              <w:r w:rsidRPr="00E156F3">
                                <w:rPr>
                                  <w:b/>
                                  <w:sz w:val="20"/>
                                </w:rPr>
                                <w:instrText>NUMPAGES  \* Arabic  \* MERGEFORMAT</w:instrText>
                              </w:r>
                              <w:r w:rsidRPr="00E156F3">
                                <w:rPr>
                                  <w:b/>
                                  <w:sz w:val="20"/>
                                </w:rPr>
                                <w:fldChar w:fldCharType="separate"/>
                              </w:r>
                              <w:r w:rsidRPr="00E156F3">
                                <w:rPr>
                                  <w:b/>
                                  <w:noProof/>
                                  <w:sz w:val="20"/>
                                  <w:lang w:val="nl-NL"/>
                                </w:rPr>
                                <w:t>2</w:t>
                              </w:r>
                              <w:r w:rsidRPr="00E156F3">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347CD" id="_x0000_t202" coordsize="21600,21600" o:spt="202" path="m,l,21600r21600,l21600,xe">
                  <v:stroke joinstyle="miter"/>
                  <v:path gradientshapeok="t" o:connecttype="rect"/>
                </v:shapetype>
                <v:shape id="Text Box 22" o:spid="_x0000_s1028" type="#_x0000_t202" style="position:absolute;left:0;text-align:left;margin-left:538.2pt;margin-top:16.45pt;width:57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" filled="f" stroked="f" strokeweight=".5pt">
                  <v:textbox>
                    <w:txbxContent>
                      <w:p w14:paraId="243C7F8B" w14:textId="77777777" w:rsidR="00E156F3" w:rsidRPr="006F2788" w:rsidRDefault="00E156F3" w:rsidP="00E156F3">
                        <w:pPr>
                          <w:rPr>
                            <w:sz w:val="20"/>
                          </w:rPr>
                        </w:pPr>
                        <w:r>
                          <w:rPr>
                            <w:b/>
                            <w:sz w:val="20"/>
                          </w:rPr>
                          <w:t>p.</w:t>
                        </w:r>
                        <w:r w:rsidRPr="00E156F3">
                          <w:rPr>
                            <w:b/>
                            <w:sz w:val="20"/>
                          </w:rPr>
                          <w:fldChar w:fldCharType="begin"/>
                        </w:r>
                        <w:r w:rsidRPr="00E156F3">
                          <w:rPr>
                            <w:b/>
                            <w:sz w:val="20"/>
                          </w:rPr>
                          <w:instrText>PAGE  \* Arabic  \* MERGEFORMAT</w:instrText>
                        </w:r>
                        <w:r w:rsidRPr="00E156F3">
                          <w:rPr>
                            <w:b/>
                            <w:sz w:val="20"/>
                          </w:rPr>
                          <w:fldChar w:fldCharType="separate"/>
                        </w:r>
                        <w:r w:rsidRPr="00E156F3">
                          <w:rPr>
                            <w:b/>
                            <w:noProof/>
                            <w:sz w:val="20"/>
                            <w:lang w:val="nl-NL"/>
                          </w:rPr>
                          <w:t>1</w:t>
                        </w:r>
                        <w:r w:rsidRPr="00E156F3">
                          <w:rPr>
                            <w:b/>
                            <w:sz w:val="20"/>
                          </w:rPr>
                          <w:fldChar w:fldCharType="end"/>
                        </w:r>
                        <w:r>
                          <w:rPr>
                            <w:sz w:val="20"/>
                            <w:lang w:val="nl-NL"/>
                          </w:rPr>
                          <w:t>/</w:t>
                        </w:r>
                        <w:r w:rsidRPr="00E156F3">
                          <w:rPr>
                            <w:b/>
                            <w:sz w:val="20"/>
                          </w:rPr>
                          <w:fldChar w:fldCharType="begin"/>
                        </w:r>
                        <w:r w:rsidRPr="00E156F3">
                          <w:rPr>
                            <w:b/>
                            <w:sz w:val="20"/>
                          </w:rPr>
                          <w:instrText>NUMPAGES  \* Arabic  \* MERGEFORMAT</w:instrText>
                        </w:r>
                        <w:r w:rsidRPr="00E156F3">
                          <w:rPr>
                            <w:b/>
                            <w:sz w:val="20"/>
                          </w:rPr>
                          <w:fldChar w:fldCharType="separate"/>
                        </w:r>
                        <w:r w:rsidRPr="00E156F3">
                          <w:rPr>
                            <w:b/>
                            <w:noProof/>
                            <w:sz w:val="20"/>
                            <w:lang w:val="nl-NL"/>
                          </w:rPr>
                          <w:t>2</w:t>
                        </w:r>
                        <w:r w:rsidRPr="00E156F3">
                          <w:rPr>
                            <w:b/>
                            <w:sz w:val="20"/>
                          </w:rPr>
                          <w:fldChar w:fldCharType="end"/>
                        </w:r>
                      </w:p>
                    </w:txbxContent>
                  </v:textbox>
                  <w10:wrap anchorx="page"/>
                  <w10:anchorlock/>
                </v:shape>
              </w:pict>
            </mc:Fallback>
          </mc:AlternateContent>
        </w:r>
        <w:r>
          <w:rPr>
            <w:sz w:val="20"/>
          </w:rPr>
          <w:t>Versi</w:t>
        </w:r>
        <w:r w:rsidR="005642A5">
          <w:rPr>
            <w:sz w:val="20"/>
          </w:rPr>
          <w:t>on</w:t>
        </w:r>
        <w:r>
          <w:rPr>
            <w:sz w:val="20"/>
          </w:rPr>
          <w:t xml:space="preserve">: </w:t>
        </w:r>
        <w:r>
          <w:rPr>
            <w:sz w:val="20"/>
          </w:rPr>
          <w:fldChar w:fldCharType="begin"/>
        </w:r>
        <w:r>
          <w:rPr>
            <w:sz w:val="20"/>
          </w:rPr>
          <w:instrText xml:space="preserve"> REF versienummer \h </w:instrText>
        </w:r>
        <w:r w:rsidR="00BD7D11">
          <w:rPr>
            <w:sz w:val="20"/>
          </w:rPr>
          <w:instrText xml:space="preserve"> \* MERGEFORMAT </w:instrText>
        </w:r>
        <w:r>
          <w:rPr>
            <w:sz w:val="20"/>
          </w:rPr>
        </w:r>
        <w:r>
          <w:rPr>
            <w:sz w:val="20"/>
          </w:rPr>
          <w:fldChar w:fldCharType="separate"/>
        </w:r>
        <w:r w:rsidR="00390062" w:rsidRPr="00E156F3">
          <w:rPr>
            <w:vanish/>
            <w:sz w:val="18"/>
          </w:rPr>
          <w:t>1</w:t>
        </w:r>
        <w:r w:rsidR="00390062" w:rsidRPr="00390062">
          <w:rPr>
            <w:sz w:val="18"/>
          </w:rPr>
          <w:t xml:space="preserve"> </w:t>
        </w:r>
        <w:r>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E0C5A" w14:textId="77777777" w:rsidR="00E135B9" w:rsidRDefault="00E135B9" w:rsidP="005A5AFF">
      <w:r>
        <w:separator/>
      </w:r>
    </w:p>
  </w:footnote>
  <w:footnote w:type="continuationSeparator" w:id="0">
    <w:p w14:paraId="71621C45" w14:textId="77777777" w:rsidR="00E135B9" w:rsidRDefault="00E135B9"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Look w:val="04A0" w:firstRow="1" w:lastRow="0" w:firstColumn="1" w:lastColumn="0" w:noHBand="0" w:noVBand="1"/>
    </w:tblPr>
    <w:tblGrid>
      <w:gridCol w:w="7510"/>
      <w:gridCol w:w="1704"/>
    </w:tblGrid>
    <w:tr w:rsidR="00E156F3" w:rsidRPr="00ED759C" w14:paraId="072D9EC5" w14:textId="77777777" w:rsidTr="00B66DA1">
      <w:trPr>
        <w:trHeight w:val="986"/>
      </w:trPr>
      <w:tc>
        <w:tcPr>
          <w:tcW w:w="7406" w:type="dxa"/>
          <w:tcBorders>
            <w:top w:val="nil"/>
            <w:left w:val="nil"/>
            <w:bottom w:val="nil"/>
            <w:right w:val="nil"/>
          </w:tcBorders>
          <w:vAlign w:val="center"/>
        </w:tcPr>
        <w:p w14:paraId="4E3D7E4B" w14:textId="77777777" w:rsidR="00076EB7" w:rsidRPr="00076EB7" w:rsidRDefault="00E156F3" w:rsidP="00076EB7">
          <w:pPr>
            <w:pStyle w:val="Koptekst"/>
            <w:tabs>
              <w:tab w:val="right" w:pos="7092"/>
            </w:tabs>
            <w:ind w:left="-108"/>
            <w:jc w:val="center"/>
            <w:rPr>
              <w:rFonts w:cs="Arial"/>
              <w:color w:val="808080" w:themeColor="background1" w:themeShade="80"/>
              <w:sz w:val="28"/>
              <w:szCs w:val="32"/>
              <w:lang w:val="fr-BE"/>
            </w:rPr>
          </w:pPr>
          <w:bookmarkStart w:id="48" w:name="titel"/>
          <w:r w:rsidRPr="00076EB7">
            <w:rPr>
              <w:rFonts w:cs="Arial"/>
              <w:color w:val="808080" w:themeColor="background1" w:themeShade="80"/>
              <w:sz w:val="28"/>
              <w:szCs w:val="32"/>
              <w:lang w:val="fr-BE"/>
            </w:rPr>
            <w:t>T</w:t>
          </w:r>
          <w:r w:rsidR="00076EB7">
            <w:rPr>
              <w:rFonts w:cs="Arial"/>
              <w:color w:val="808080" w:themeColor="background1" w:themeShade="80"/>
              <w:sz w:val="28"/>
              <w:szCs w:val="32"/>
              <w:lang w:val="fr-BE"/>
            </w:rPr>
            <w:t>5220</w:t>
          </w:r>
          <w:r w:rsidRPr="00076EB7">
            <w:rPr>
              <w:rFonts w:cs="Arial"/>
              <w:color w:val="808080" w:themeColor="background1" w:themeShade="80"/>
              <w:sz w:val="28"/>
              <w:szCs w:val="32"/>
              <w:lang w:val="fr-BE"/>
            </w:rPr>
            <w:t>_</w:t>
          </w:r>
          <w:r w:rsidR="00076EB7" w:rsidRPr="00076EB7">
            <w:rPr>
              <w:lang w:val="fr-BE"/>
            </w:rPr>
            <w:t xml:space="preserve"> </w:t>
          </w:r>
          <w:r w:rsidR="00076EB7" w:rsidRPr="00076EB7">
            <w:rPr>
              <w:rFonts w:cs="Arial"/>
              <w:color w:val="808080" w:themeColor="background1" w:themeShade="80"/>
              <w:sz w:val="28"/>
              <w:szCs w:val="32"/>
              <w:lang w:val="fr-BE"/>
            </w:rPr>
            <w:t>Procédure:</w:t>
          </w:r>
        </w:p>
        <w:p w14:paraId="2822EDCC" w14:textId="4C85D6D1" w:rsidR="00E156F3" w:rsidRPr="00076EB7" w:rsidRDefault="00C03B33" w:rsidP="00076EB7">
          <w:pPr>
            <w:pStyle w:val="Koptekst"/>
            <w:tabs>
              <w:tab w:val="clear" w:pos="9072"/>
              <w:tab w:val="right" w:pos="7092"/>
            </w:tabs>
            <w:ind w:left="-108"/>
            <w:jc w:val="center"/>
            <w:rPr>
              <w:rFonts w:cs="Arial"/>
              <w:color w:val="808080" w:themeColor="background1" w:themeShade="80"/>
              <w:sz w:val="28"/>
              <w:szCs w:val="32"/>
              <w:lang w:val="fr-BE"/>
            </w:rPr>
          </w:pPr>
          <w:r>
            <w:rPr>
              <w:rFonts w:cs="Arial"/>
              <w:color w:val="808080" w:themeColor="background1" w:themeShade="80"/>
              <w:sz w:val="28"/>
              <w:szCs w:val="32"/>
              <w:lang w:val="fr-BE"/>
            </w:rPr>
            <w:t>C</w:t>
          </w:r>
          <w:r w:rsidR="000F6A58" w:rsidRPr="00076EB7">
            <w:rPr>
              <w:rFonts w:cs="Arial"/>
              <w:color w:val="808080" w:themeColor="background1" w:themeShade="80"/>
              <w:sz w:val="28"/>
              <w:szCs w:val="32"/>
              <w:lang w:val="fr-BE"/>
            </w:rPr>
            <w:t>ode</w:t>
          </w:r>
          <w:r w:rsidR="00076EB7" w:rsidRPr="00076EB7">
            <w:rPr>
              <w:rFonts w:cs="Arial"/>
              <w:color w:val="808080" w:themeColor="background1" w:themeShade="80"/>
              <w:sz w:val="28"/>
              <w:szCs w:val="32"/>
              <w:lang w:val="fr-BE"/>
            </w:rPr>
            <w:t xml:space="preserve"> de </w:t>
          </w:r>
          <w:r w:rsidR="000F6A58" w:rsidRPr="00076EB7">
            <w:rPr>
              <w:rFonts w:cs="Arial"/>
              <w:color w:val="808080" w:themeColor="background1" w:themeShade="80"/>
              <w:sz w:val="28"/>
              <w:szCs w:val="32"/>
              <w:lang w:val="fr-BE"/>
            </w:rPr>
            <w:t>bonne pratique</w:t>
          </w:r>
          <w:r w:rsidR="00076EB7" w:rsidRPr="00076EB7">
            <w:rPr>
              <w:rFonts w:cs="Arial"/>
              <w:color w:val="808080" w:themeColor="background1" w:themeShade="80"/>
              <w:sz w:val="28"/>
              <w:szCs w:val="32"/>
              <w:lang w:val="fr-BE"/>
            </w:rPr>
            <w:t xml:space="preserve"> pour l’utilisation des appareils de détection mobiles de gaz</w:t>
          </w:r>
          <w:bookmarkEnd w:id="48"/>
        </w:p>
      </w:tc>
      <w:tc>
        <w:tcPr>
          <w:tcW w:w="1808" w:type="dxa"/>
          <w:tcBorders>
            <w:top w:val="nil"/>
            <w:left w:val="nil"/>
            <w:bottom w:val="nil"/>
            <w:right w:val="nil"/>
          </w:tcBorders>
          <w:vAlign w:val="center"/>
        </w:tcPr>
        <w:p w14:paraId="5F0969D3" w14:textId="77777777" w:rsidR="00E156F3" w:rsidRPr="00076EB7" w:rsidRDefault="00E156F3" w:rsidP="004B36D9">
          <w:pPr>
            <w:pStyle w:val="Koptekst"/>
            <w:jc w:val="center"/>
            <w:rPr>
              <w:lang w:val="fr-BE"/>
            </w:rPr>
          </w:pPr>
          <w:r>
            <w:rPr>
              <w:noProof/>
              <w:lang w:eastAsia="nl-BE"/>
            </w:rPr>
            <w:drawing>
              <wp:anchor distT="0" distB="0" distL="114300" distR="114300" simplePos="0" relativeHeight="251685888" behindDoc="0" locked="0" layoutInCell="1" allowOverlap="1" wp14:anchorId="55F96292" wp14:editId="5B47607E">
                <wp:simplePos x="0" y="0"/>
                <wp:positionH relativeFrom="column">
                  <wp:posOffset>-41910</wp:posOffset>
                </wp:positionH>
                <wp:positionV relativeFrom="paragraph">
                  <wp:posOffset>19685</wp:posOffset>
                </wp:positionV>
                <wp:extent cx="1066800" cy="487045"/>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E156F3" w14:paraId="6F9A42F1" w14:textId="77777777" w:rsidTr="00B66DA1">
      <w:trPr>
        <w:trHeight w:val="428"/>
      </w:trPr>
      <w:tc>
        <w:tcPr>
          <w:tcW w:w="9214" w:type="dxa"/>
          <w:gridSpan w:val="2"/>
          <w:tcBorders>
            <w:top w:val="nil"/>
            <w:left w:val="nil"/>
            <w:bottom w:val="nil"/>
            <w:right w:val="nil"/>
          </w:tcBorders>
          <w:vAlign w:val="center"/>
        </w:tcPr>
        <w:p w14:paraId="7C309A3E" w14:textId="77777777" w:rsidR="00E156F3" w:rsidRDefault="00E156F3" w:rsidP="00B66DA1">
          <w:pPr>
            <w:pStyle w:val="Koptekst"/>
            <w:ind w:left="-108"/>
            <w:jc w:val="center"/>
            <w:rPr>
              <w:noProof/>
              <w:lang w:eastAsia="nl-BE"/>
            </w:rPr>
          </w:pPr>
          <w:r>
            <w:rPr>
              <w:rFonts w:cs="Arial"/>
              <w:b/>
              <w:noProof/>
              <w:sz w:val="24"/>
              <w:szCs w:val="32"/>
              <w:lang w:eastAsia="nl-BE"/>
            </w:rPr>
            <mc:AlternateContent>
              <mc:Choice Requires="wps">
                <w:drawing>
                  <wp:inline distT="0" distB="0" distL="0" distR="0" wp14:anchorId="5C4D995D" wp14:editId="28016B97">
                    <wp:extent cx="5722620" cy="7620"/>
                    <wp:effectExtent l="76200" t="76200" r="68580" b="68580"/>
                    <wp:docPr id="1" name="Straight Connector 2"/>
                    <wp:cNvGraphicFramePr/>
                    <a:graphic xmlns:a="http://schemas.openxmlformats.org/drawingml/2006/main">
                      <a:graphicData uri="http://schemas.microsoft.com/office/word/2010/wordprocessingShape">
                        <wps:wsp>
                          <wps:cNvCnPr/>
                          <wps:spPr>
                            <a:xfrm>
                              <a:off x="0" y="0"/>
                              <a:ext cx="5722620" cy="762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6C13A4"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0.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" strokeweight="4.5pt">
                    <v:stroke endcap="round"/>
                    <w10:anchorlock/>
                  </v:line>
                </w:pict>
              </mc:Fallback>
            </mc:AlternateContent>
          </w:r>
        </w:p>
      </w:tc>
    </w:tr>
  </w:tbl>
  <w:p w14:paraId="0C0712A9" w14:textId="77777777" w:rsidR="00E156F3" w:rsidRPr="00E156F3" w:rsidRDefault="00E156F3">
    <w:pPr>
      <w:pStyle w:val="Kopteks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341"/>
    <w:multiLevelType w:val="hybridMultilevel"/>
    <w:tmpl w:val="5B8ED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025F38"/>
    <w:multiLevelType w:val="hybridMultilevel"/>
    <w:tmpl w:val="882CA1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396460B"/>
    <w:multiLevelType w:val="multilevel"/>
    <w:tmpl w:val="5C3E28C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05AA05FA"/>
    <w:multiLevelType w:val="hybridMultilevel"/>
    <w:tmpl w:val="F7926520"/>
    <w:lvl w:ilvl="0" w:tplc="5CB4FE54">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354CD8"/>
    <w:multiLevelType w:val="multilevel"/>
    <w:tmpl w:val="7556021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 w15:restartNumberingAfterBreak="0">
    <w:nsid w:val="18577318"/>
    <w:multiLevelType w:val="hybridMultilevel"/>
    <w:tmpl w:val="86A26CA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1BFA7080"/>
    <w:multiLevelType w:val="hybridMultilevel"/>
    <w:tmpl w:val="C9E28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C4D0E"/>
    <w:multiLevelType w:val="hybridMultilevel"/>
    <w:tmpl w:val="1D70A4C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2B0643E5"/>
    <w:multiLevelType w:val="hybridMultilevel"/>
    <w:tmpl w:val="7E3099B8"/>
    <w:lvl w:ilvl="0" w:tplc="9E34DB92">
      <w:start w:val="3"/>
      <w:numFmt w:val="bullet"/>
      <w:lvlText w:val="-"/>
      <w:lvlJc w:val="left"/>
      <w:pPr>
        <w:tabs>
          <w:tab w:val="num" w:pos="697"/>
        </w:tabs>
        <w:ind w:left="697" w:hanging="34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6509F"/>
    <w:multiLevelType w:val="hybridMultilevel"/>
    <w:tmpl w:val="74CC1DBE"/>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190AC0"/>
    <w:multiLevelType w:val="multilevel"/>
    <w:tmpl w:val="83DE55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1680"/>
        </w:tabs>
        <w:ind w:left="578" w:hanging="578"/>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673"/>
        </w:tabs>
        <w:ind w:left="673" w:hanging="864"/>
      </w:pPr>
      <w:rPr>
        <w:rFonts w:hint="default"/>
      </w:rPr>
    </w:lvl>
    <w:lvl w:ilvl="4">
      <w:start w:val="1"/>
      <w:numFmt w:val="decimal"/>
      <w:lvlText w:val="%1.%2.%3.%4.%5"/>
      <w:lvlJc w:val="left"/>
      <w:pPr>
        <w:tabs>
          <w:tab w:val="num" w:pos="817"/>
        </w:tabs>
        <w:ind w:left="817" w:hanging="1008"/>
      </w:pPr>
      <w:rPr>
        <w:rFonts w:hint="default"/>
      </w:rPr>
    </w:lvl>
    <w:lvl w:ilvl="5">
      <w:start w:val="1"/>
      <w:numFmt w:val="decimal"/>
      <w:lvlText w:val="%1.%2.%3.%4.%5.%6"/>
      <w:lvlJc w:val="left"/>
      <w:pPr>
        <w:tabs>
          <w:tab w:val="num" w:pos="961"/>
        </w:tabs>
        <w:ind w:left="961" w:hanging="1152"/>
      </w:pPr>
      <w:rPr>
        <w:rFonts w:hint="default"/>
      </w:rPr>
    </w:lvl>
    <w:lvl w:ilvl="6">
      <w:start w:val="1"/>
      <w:numFmt w:val="decimal"/>
      <w:lvlText w:val="%1.%2.%3.%4.%5.%6.%7"/>
      <w:lvlJc w:val="left"/>
      <w:pPr>
        <w:tabs>
          <w:tab w:val="num" w:pos="1105"/>
        </w:tabs>
        <w:ind w:left="1105" w:hanging="1296"/>
      </w:pPr>
      <w:rPr>
        <w:rFonts w:hint="default"/>
      </w:rPr>
    </w:lvl>
    <w:lvl w:ilvl="7">
      <w:start w:val="1"/>
      <w:numFmt w:val="decimal"/>
      <w:lvlText w:val="%1.%2.%3.%4.%5.%6.%7.%8"/>
      <w:lvlJc w:val="left"/>
      <w:pPr>
        <w:tabs>
          <w:tab w:val="num" w:pos="1249"/>
        </w:tabs>
        <w:ind w:left="1249" w:hanging="1440"/>
      </w:pPr>
      <w:rPr>
        <w:rFonts w:hint="default"/>
      </w:rPr>
    </w:lvl>
    <w:lvl w:ilvl="8">
      <w:start w:val="1"/>
      <w:numFmt w:val="decimal"/>
      <w:lvlText w:val="%1.%2.%3.%4.%5.%6.%7.%8.%9"/>
      <w:lvlJc w:val="left"/>
      <w:pPr>
        <w:tabs>
          <w:tab w:val="num" w:pos="1393"/>
        </w:tabs>
        <w:ind w:left="1393" w:hanging="1584"/>
      </w:pPr>
      <w:rPr>
        <w:rFonts w:hint="default"/>
      </w:rPr>
    </w:lvl>
  </w:abstractNum>
  <w:abstractNum w:abstractNumId="12" w15:restartNumberingAfterBreak="0">
    <w:nsid w:val="39233EF5"/>
    <w:multiLevelType w:val="hybridMultilevel"/>
    <w:tmpl w:val="F1F27C3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A4E1100"/>
    <w:multiLevelType w:val="hybridMultilevel"/>
    <w:tmpl w:val="D1287D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1974D58"/>
    <w:multiLevelType w:val="hybridMultilevel"/>
    <w:tmpl w:val="9DF8B83C"/>
    <w:lvl w:ilvl="0" w:tplc="5CB4FE54">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55215"/>
    <w:multiLevelType w:val="hybridMultilevel"/>
    <w:tmpl w:val="2D849556"/>
    <w:lvl w:ilvl="0" w:tplc="9E34DB92">
      <w:start w:val="3"/>
      <w:numFmt w:val="bullet"/>
      <w:lvlText w:val="-"/>
      <w:lvlJc w:val="left"/>
      <w:pPr>
        <w:tabs>
          <w:tab w:val="num" w:pos="697"/>
        </w:tabs>
        <w:ind w:left="697" w:hanging="34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823F63"/>
    <w:multiLevelType w:val="hybridMultilevel"/>
    <w:tmpl w:val="199605D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605A31E0"/>
    <w:multiLevelType w:val="hybridMultilevel"/>
    <w:tmpl w:val="B636CE0C"/>
    <w:lvl w:ilvl="0" w:tplc="A3187368">
      <w:start w:val="3"/>
      <w:numFmt w:val="bullet"/>
      <w:lvlText w:val="-"/>
      <w:lvlJc w:val="left"/>
      <w:pPr>
        <w:tabs>
          <w:tab w:val="num" w:pos="900"/>
        </w:tabs>
        <w:ind w:left="900" w:hanging="360"/>
      </w:pPr>
      <w:rPr>
        <w:rFonts w:ascii="Trebuchet MS" w:eastAsia="Times New Roman"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2F65475"/>
    <w:multiLevelType w:val="hybridMultilevel"/>
    <w:tmpl w:val="A1E2DA00"/>
    <w:lvl w:ilvl="0" w:tplc="20000001">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6EC36B33"/>
    <w:multiLevelType w:val="hybridMultilevel"/>
    <w:tmpl w:val="5A167C48"/>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3F976AF"/>
    <w:multiLevelType w:val="hybridMultilevel"/>
    <w:tmpl w:val="FA729688"/>
    <w:lvl w:ilvl="0" w:tplc="9E34DB92">
      <w:start w:val="3"/>
      <w:numFmt w:val="bullet"/>
      <w:lvlText w:val="-"/>
      <w:lvlJc w:val="left"/>
      <w:pPr>
        <w:tabs>
          <w:tab w:val="num" w:pos="697"/>
        </w:tabs>
        <w:ind w:left="697" w:hanging="34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F83FFC"/>
    <w:multiLevelType w:val="hybridMultilevel"/>
    <w:tmpl w:val="2F38F728"/>
    <w:lvl w:ilvl="0" w:tplc="0813000F">
      <w:start w:val="1"/>
      <w:numFmt w:val="decimal"/>
      <w:lvlText w:val="%1."/>
      <w:lvlJc w:val="left"/>
      <w:pPr>
        <w:ind w:left="360" w:hanging="360"/>
      </w:pPr>
    </w:lvl>
    <w:lvl w:ilvl="1" w:tplc="4ACCE754">
      <w:start w:val="1"/>
      <w:numFmt w:val="decimal"/>
      <w:lvlText w:val="%2."/>
      <w:lvlJc w:val="left"/>
      <w:pPr>
        <w:ind w:left="1080" w:hanging="360"/>
      </w:pPr>
      <w:rPr>
        <w:rFonts w:ascii="Trebuchet MS" w:hAnsi="Trebuchet M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9"/>
  </w:num>
  <w:num w:numId="2">
    <w:abstractNumId w:val="2"/>
  </w:num>
  <w:num w:numId="3">
    <w:abstractNumId w:val="4"/>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21"/>
  </w:num>
  <w:num w:numId="5">
    <w:abstractNumId w:val="10"/>
  </w:num>
  <w:num w:numId="6">
    <w:abstractNumId w:val="12"/>
  </w:num>
  <w:num w:numId="7">
    <w:abstractNumId w:val="2"/>
  </w:num>
  <w:num w:numId="8">
    <w:abstractNumId w:val="4"/>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9">
    <w:abstractNumId w:val="5"/>
  </w:num>
  <w:num w:numId="10">
    <w:abstractNumId w:val="17"/>
  </w:num>
  <w:num w:numId="11">
    <w:abstractNumId w:val="9"/>
  </w:num>
  <w:num w:numId="12">
    <w:abstractNumId w:val="15"/>
  </w:num>
  <w:num w:numId="13">
    <w:abstractNumId w:val="3"/>
  </w:num>
  <w:num w:numId="14">
    <w:abstractNumId w:val="20"/>
  </w:num>
  <w:num w:numId="15">
    <w:abstractNumId w:val="7"/>
  </w:num>
  <w:num w:numId="16">
    <w:abstractNumId w:val="14"/>
  </w:num>
  <w:num w:numId="17">
    <w:abstractNumId w:val="11"/>
  </w:num>
  <w:num w:numId="18">
    <w:abstractNumId w:val="18"/>
  </w:num>
  <w:num w:numId="19">
    <w:abstractNumId w:val="16"/>
  </w:num>
  <w:num w:numId="20">
    <w:abstractNumId w:val="13"/>
  </w:num>
  <w:num w:numId="21">
    <w:abstractNumId w:val="0"/>
  </w:num>
  <w:num w:numId="22">
    <w:abstractNumId w:val="8"/>
  </w:num>
  <w:num w:numId="23">
    <w:abstractNumId w:val="1"/>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AD"/>
    <w:rsid w:val="00002B3B"/>
    <w:rsid w:val="000046A4"/>
    <w:rsid w:val="000105A4"/>
    <w:rsid w:val="00012AAD"/>
    <w:rsid w:val="00027335"/>
    <w:rsid w:val="0004682E"/>
    <w:rsid w:val="000547E2"/>
    <w:rsid w:val="00071839"/>
    <w:rsid w:val="00071B4F"/>
    <w:rsid w:val="00074212"/>
    <w:rsid w:val="00076EB7"/>
    <w:rsid w:val="000809A1"/>
    <w:rsid w:val="0009082C"/>
    <w:rsid w:val="000940D9"/>
    <w:rsid w:val="000A2AA2"/>
    <w:rsid w:val="000A74E3"/>
    <w:rsid w:val="000B6BC5"/>
    <w:rsid w:val="000C0D5E"/>
    <w:rsid w:val="000C35C1"/>
    <w:rsid w:val="000C6F4A"/>
    <w:rsid w:val="000E6B11"/>
    <w:rsid w:val="000F2035"/>
    <w:rsid w:val="000F6A58"/>
    <w:rsid w:val="00125CA6"/>
    <w:rsid w:val="00131082"/>
    <w:rsid w:val="00134D88"/>
    <w:rsid w:val="001425C3"/>
    <w:rsid w:val="00145BDD"/>
    <w:rsid w:val="00146FF6"/>
    <w:rsid w:val="00147680"/>
    <w:rsid w:val="00155926"/>
    <w:rsid w:val="0015666F"/>
    <w:rsid w:val="00175554"/>
    <w:rsid w:val="00181538"/>
    <w:rsid w:val="001A54B0"/>
    <w:rsid w:val="001B0921"/>
    <w:rsid w:val="001B47E2"/>
    <w:rsid w:val="001B5126"/>
    <w:rsid w:val="001C4FF5"/>
    <w:rsid w:val="001F2960"/>
    <w:rsid w:val="00212E79"/>
    <w:rsid w:val="0022060A"/>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431A6"/>
    <w:rsid w:val="00351F44"/>
    <w:rsid w:val="003525A4"/>
    <w:rsid w:val="0035767F"/>
    <w:rsid w:val="00362A3F"/>
    <w:rsid w:val="00371A09"/>
    <w:rsid w:val="00376581"/>
    <w:rsid w:val="0038298A"/>
    <w:rsid w:val="003863FC"/>
    <w:rsid w:val="00387936"/>
    <w:rsid w:val="00387F25"/>
    <w:rsid w:val="00390062"/>
    <w:rsid w:val="00396AA0"/>
    <w:rsid w:val="003A0779"/>
    <w:rsid w:val="003A14A0"/>
    <w:rsid w:val="003B3EAD"/>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C6109"/>
    <w:rsid w:val="004E772A"/>
    <w:rsid w:val="004F01FB"/>
    <w:rsid w:val="004F034D"/>
    <w:rsid w:val="004F2DD7"/>
    <w:rsid w:val="0050402D"/>
    <w:rsid w:val="00504DA6"/>
    <w:rsid w:val="00512EF1"/>
    <w:rsid w:val="00513457"/>
    <w:rsid w:val="00514C5E"/>
    <w:rsid w:val="00523ECB"/>
    <w:rsid w:val="00553719"/>
    <w:rsid w:val="005543FA"/>
    <w:rsid w:val="00554A6F"/>
    <w:rsid w:val="005642A5"/>
    <w:rsid w:val="00570242"/>
    <w:rsid w:val="00571D06"/>
    <w:rsid w:val="00572B4E"/>
    <w:rsid w:val="005839EF"/>
    <w:rsid w:val="005A5AFF"/>
    <w:rsid w:val="005B7A68"/>
    <w:rsid w:val="005C0EDE"/>
    <w:rsid w:val="005D55DA"/>
    <w:rsid w:val="005E0865"/>
    <w:rsid w:val="00610443"/>
    <w:rsid w:val="0061175F"/>
    <w:rsid w:val="006146F9"/>
    <w:rsid w:val="00615F50"/>
    <w:rsid w:val="0062589D"/>
    <w:rsid w:val="00663878"/>
    <w:rsid w:val="0067270C"/>
    <w:rsid w:val="006827CC"/>
    <w:rsid w:val="0068549B"/>
    <w:rsid w:val="00691358"/>
    <w:rsid w:val="0069475D"/>
    <w:rsid w:val="0069677D"/>
    <w:rsid w:val="00697CA4"/>
    <w:rsid w:val="006B3CAA"/>
    <w:rsid w:val="006B6656"/>
    <w:rsid w:val="006C20D8"/>
    <w:rsid w:val="006D0475"/>
    <w:rsid w:val="006F0700"/>
    <w:rsid w:val="006F1E44"/>
    <w:rsid w:val="006F2788"/>
    <w:rsid w:val="006F5C95"/>
    <w:rsid w:val="00717754"/>
    <w:rsid w:val="00722FD2"/>
    <w:rsid w:val="0072520D"/>
    <w:rsid w:val="0074214F"/>
    <w:rsid w:val="007501DD"/>
    <w:rsid w:val="007534DA"/>
    <w:rsid w:val="00776B82"/>
    <w:rsid w:val="00793C1C"/>
    <w:rsid w:val="007B1AA6"/>
    <w:rsid w:val="007B46A8"/>
    <w:rsid w:val="007C7548"/>
    <w:rsid w:val="007D135D"/>
    <w:rsid w:val="007D703F"/>
    <w:rsid w:val="007D7A90"/>
    <w:rsid w:val="007E0084"/>
    <w:rsid w:val="007E7DE6"/>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C0531"/>
    <w:rsid w:val="009C072E"/>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B6C43"/>
    <w:rsid w:val="00AC1836"/>
    <w:rsid w:val="00AC341E"/>
    <w:rsid w:val="00AD064D"/>
    <w:rsid w:val="00AD569E"/>
    <w:rsid w:val="00AD6C40"/>
    <w:rsid w:val="00AF75D1"/>
    <w:rsid w:val="00B4742C"/>
    <w:rsid w:val="00B53B9E"/>
    <w:rsid w:val="00B6130E"/>
    <w:rsid w:val="00B66DA1"/>
    <w:rsid w:val="00B81423"/>
    <w:rsid w:val="00BA767A"/>
    <w:rsid w:val="00BA7E55"/>
    <w:rsid w:val="00BC2911"/>
    <w:rsid w:val="00BD002D"/>
    <w:rsid w:val="00BD1111"/>
    <w:rsid w:val="00BD7D11"/>
    <w:rsid w:val="00BF2B15"/>
    <w:rsid w:val="00BF62A2"/>
    <w:rsid w:val="00C034E4"/>
    <w:rsid w:val="00C03B33"/>
    <w:rsid w:val="00C054C6"/>
    <w:rsid w:val="00C2344B"/>
    <w:rsid w:val="00C42660"/>
    <w:rsid w:val="00C42792"/>
    <w:rsid w:val="00C533BB"/>
    <w:rsid w:val="00C5795E"/>
    <w:rsid w:val="00C618D0"/>
    <w:rsid w:val="00CC238B"/>
    <w:rsid w:val="00CC5595"/>
    <w:rsid w:val="00CC7AAE"/>
    <w:rsid w:val="00CE048C"/>
    <w:rsid w:val="00CF0072"/>
    <w:rsid w:val="00CF070F"/>
    <w:rsid w:val="00D10164"/>
    <w:rsid w:val="00D35F3E"/>
    <w:rsid w:val="00D46C78"/>
    <w:rsid w:val="00D5169D"/>
    <w:rsid w:val="00D56B1F"/>
    <w:rsid w:val="00D62ABB"/>
    <w:rsid w:val="00D8283E"/>
    <w:rsid w:val="00D84E80"/>
    <w:rsid w:val="00D860E6"/>
    <w:rsid w:val="00D941A6"/>
    <w:rsid w:val="00D9604B"/>
    <w:rsid w:val="00DB550D"/>
    <w:rsid w:val="00DC6BE6"/>
    <w:rsid w:val="00DD2409"/>
    <w:rsid w:val="00E04270"/>
    <w:rsid w:val="00E12122"/>
    <w:rsid w:val="00E135B9"/>
    <w:rsid w:val="00E156F3"/>
    <w:rsid w:val="00E26928"/>
    <w:rsid w:val="00E42407"/>
    <w:rsid w:val="00E62436"/>
    <w:rsid w:val="00E640D0"/>
    <w:rsid w:val="00E7062E"/>
    <w:rsid w:val="00E83330"/>
    <w:rsid w:val="00E92EAC"/>
    <w:rsid w:val="00EB068B"/>
    <w:rsid w:val="00EB2DF5"/>
    <w:rsid w:val="00ED1143"/>
    <w:rsid w:val="00ED759C"/>
    <w:rsid w:val="00F00778"/>
    <w:rsid w:val="00F16DA8"/>
    <w:rsid w:val="00F256AA"/>
    <w:rsid w:val="00F27AB9"/>
    <w:rsid w:val="00F34A7F"/>
    <w:rsid w:val="00F4682D"/>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59C13F"/>
  <w15:docId w15:val="{BB675FE2-4F5F-4F40-993F-C3B5084B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682D"/>
    <w:pPr>
      <w:spacing w:after="0"/>
      <w:jc w:val="both"/>
    </w:pPr>
    <w:rPr>
      <w:rFonts w:ascii="Trebuchet MS" w:hAnsi="Trebuchet MS"/>
    </w:rPr>
  </w:style>
  <w:style w:type="paragraph" w:styleId="Kop1">
    <w:name w:val="heading 1"/>
    <w:aliases w:val="BOFAS - Kop 1"/>
    <w:basedOn w:val="Standaard"/>
    <w:next w:val="Kop2"/>
    <w:link w:val="Kop1Char"/>
    <w:autoRedefine/>
    <w:qFormat/>
    <w:rsid w:val="00076EB7"/>
    <w:pPr>
      <w:keepNext/>
      <w:keepLines/>
      <w:numPr>
        <w:numId w:val="7"/>
      </w:numPr>
      <w:ind w:left="431" w:hanging="431"/>
      <w:outlineLvl w:val="0"/>
    </w:pPr>
    <w:rPr>
      <w:rFonts w:eastAsiaTheme="majorEastAsia" w:cstheme="majorBidi"/>
      <w:b/>
      <w:bCs/>
      <w:caps/>
      <w:color w:val="009ADE"/>
      <w:sz w:val="32"/>
      <w:szCs w:val="28"/>
    </w:rPr>
  </w:style>
  <w:style w:type="paragraph" w:styleId="Kop2">
    <w:name w:val="heading 2"/>
    <w:aliases w:val="BOFAS - Kop 2"/>
    <w:basedOn w:val="Standaard"/>
    <w:next w:val="Kop3"/>
    <w:link w:val="Kop2Char"/>
    <w:unhideWhenUsed/>
    <w:qFormat/>
    <w:rsid w:val="00F4682D"/>
    <w:pPr>
      <w:keepNext/>
      <w:keepLines/>
      <w:numPr>
        <w:ilvl w:val="1"/>
        <w:numId w:val="7"/>
      </w:numPr>
      <w:outlineLvl w:val="1"/>
    </w:pPr>
    <w:rPr>
      <w:rFonts w:eastAsiaTheme="majorEastAsia" w:cstheme="majorBidi"/>
      <w:b/>
      <w:bCs/>
      <w:sz w:val="28"/>
      <w:szCs w:val="26"/>
    </w:rPr>
  </w:style>
  <w:style w:type="paragraph" w:styleId="Kop3">
    <w:name w:val="heading 3"/>
    <w:aliases w:val="BOFAS - Kop 3"/>
    <w:basedOn w:val="Standaard"/>
    <w:next w:val="Standaard"/>
    <w:link w:val="Kop3Char"/>
    <w:unhideWhenUsed/>
    <w:qFormat/>
    <w:rsid w:val="00F4682D"/>
    <w:pPr>
      <w:keepNext/>
      <w:keepLines/>
      <w:numPr>
        <w:ilvl w:val="2"/>
        <w:numId w:val="7"/>
      </w:numPr>
      <w:outlineLvl w:val="2"/>
    </w:pPr>
    <w:rPr>
      <w:rFonts w:eastAsiaTheme="majorEastAsia" w:cstheme="majorBidi"/>
      <w:b/>
      <w:bCs/>
      <w:sz w:val="24"/>
    </w:rPr>
  </w:style>
  <w:style w:type="paragraph" w:styleId="Kop4">
    <w:name w:val="heading 4"/>
    <w:aliases w:val="BOFAS - Kop 4"/>
    <w:basedOn w:val="Standaard"/>
    <w:next w:val="Standaard"/>
    <w:link w:val="Kop4Char"/>
    <w:uiPriority w:val="9"/>
    <w:unhideWhenUsed/>
    <w:qFormat/>
    <w:rsid w:val="00F4682D"/>
    <w:pPr>
      <w:keepNext/>
      <w:keepLines/>
      <w:numPr>
        <w:ilvl w:val="3"/>
        <w:numId w:val="7"/>
      </w:numPr>
      <w:outlineLvl w:val="3"/>
    </w:pPr>
    <w:rPr>
      <w:rFonts w:eastAsiaTheme="majorEastAsia" w:cstheme="majorBidi"/>
      <w:b/>
      <w:bCs/>
      <w:iCs/>
    </w:rPr>
  </w:style>
  <w:style w:type="paragraph" w:styleId="Kop5">
    <w:name w:val="heading 5"/>
    <w:aliases w:val="BOFAS - Kop 5"/>
    <w:basedOn w:val="Standaard"/>
    <w:next w:val="Standaard"/>
    <w:link w:val="Kop5Char"/>
    <w:uiPriority w:val="9"/>
    <w:unhideWhenUsed/>
    <w:qFormat/>
    <w:rsid w:val="00F4682D"/>
    <w:pPr>
      <w:keepNext/>
      <w:keepLines/>
      <w:numPr>
        <w:ilvl w:val="4"/>
        <w:numId w:val="7"/>
      </w:numPr>
      <w:outlineLvl w:val="4"/>
    </w:pPr>
    <w:rPr>
      <w:rFonts w:eastAsiaTheme="majorEastAsia" w:cstheme="majorBidi"/>
      <w:b/>
    </w:rPr>
  </w:style>
  <w:style w:type="paragraph" w:styleId="Kop6">
    <w:name w:val="heading 6"/>
    <w:aliases w:val="BOFAS - Kop 6"/>
    <w:basedOn w:val="Standaard"/>
    <w:next w:val="Standaard"/>
    <w:link w:val="Kop6Char"/>
    <w:uiPriority w:val="9"/>
    <w:unhideWhenUsed/>
    <w:qFormat/>
    <w:rsid w:val="00F4682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F4682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4682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4682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aliases w:val="BOFAS - Kop 1 Char"/>
    <w:basedOn w:val="Standaardalinea-lettertype"/>
    <w:link w:val="Kop1"/>
    <w:rsid w:val="00076EB7"/>
    <w:rPr>
      <w:rFonts w:ascii="Trebuchet MS" w:eastAsiaTheme="majorEastAsia" w:hAnsi="Trebuchet MS" w:cstheme="majorBidi"/>
      <w:b/>
      <w:bCs/>
      <w:caps/>
      <w:color w:val="009ADE"/>
      <w:sz w:val="32"/>
      <w:szCs w:val="28"/>
    </w:rPr>
  </w:style>
  <w:style w:type="character" w:customStyle="1" w:styleId="Kop2Char">
    <w:name w:val="Kop 2 Char"/>
    <w:aliases w:val="BOFAS - Kop 2 Char"/>
    <w:basedOn w:val="Standaardalinea-lettertype"/>
    <w:link w:val="Kop2"/>
    <w:uiPriority w:val="9"/>
    <w:rsid w:val="00F4682D"/>
    <w:rPr>
      <w:rFonts w:ascii="Trebuchet MS" w:eastAsiaTheme="majorEastAsia" w:hAnsi="Trebuchet MS" w:cstheme="majorBidi"/>
      <w:b/>
      <w:bCs/>
      <w:sz w:val="28"/>
      <w:szCs w:val="26"/>
    </w:rPr>
  </w:style>
  <w:style w:type="character" w:customStyle="1" w:styleId="Kop3Char">
    <w:name w:val="Kop 3 Char"/>
    <w:aliases w:val="BOFAS - Kop 3 Char"/>
    <w:basedOn w:val="Standaardalinea-lettertype"/>
    <w:link w:val="Kop3"/>
    <w:uiPriority w:val="9"/>
    <w:rsid w:val="00F4682D"/>
    <w:rPr>
      <w:rFonts w:ascii="Trebuchet MS" w:eastAsiaTheme="majorEastAsia" w:hAnsi="Trebuchet MS" w:cstheme="majorBidi"/>
      <w:b/>
      <w:bCs/>
      <w:sz w:val="24"/>
    </w:rPr>
  </w:style>
  <w:style w:type="character" w:customStyle="1" w:styleId="Kop4Char">
    <w:name w:val="Kop 4 Char"/>
    <w:aliases w:val="BOFAS - Kop 4 Char"/>
    <w:basedOn w:val="Standaardalinea-lettertype"/>
    <w:link w:val="Kop4"/>
    <w:uiPriority w:val="9"/>
    <w:rsid w:val="00F4682D"/>
    <w:rPr>
      <w:rFonts w:ascii="Trebuchet MS" w:eastAsiaTheme="majorEastAsia" w:hAnsi="Trebuchet MS" w:cstheme="majorBidi"/>
      <w:b/>
      <w:bCs/>
      <w:iCs/>
    </w:rPr>
  </w:style>
  <w:style w:type="character" w:customStyle="1" w:styleId="Kop5Char">
    <w:name w:val="Kop 5 Char"/>
    <w:aliases w:val="BOFAS - Kop 5 Char"/>
    <w:basedOn w:val="Standaardalinea-lettertype"/>
    <w:link w:val="Kop5"/>
    <w:uiPriority w:val="9"/>
    <w:rsid w:val="00F4682D"/>
    <w:rPr>
      <w:rFonts w:ascii="Trebuchet MS" w:eastAsiaTheme="majorEastAsia" w:hAnsi="Trebuchet MS" w:cstheme="majorBidi"/>
      <w:b/>
    </w:rPr>
  </w:style>
  <w:style w:type="character" w:customStyle="1" w:styleId="Kop6Char">
    <w:name w:val="Kop 6 Char"/>
    <w:aliases w:val="BOFAS - Kop 6 Char"/>
    <w:basedOn w:val="Standaardalinea-lettertype"/>
    <w:link w:val="Kop6"/>
    <w:uiPriority w:val="9"/>
    <w:rsid w:val="00F4682D"/>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F4682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4682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4682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F4682D"/>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qFormat/>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qFormat/>
    <w:rsid w:val="00D46C78"/>
    <w:pPr>
      <w:outlineLvl w:val="9"/>
    </w:pPr>
    <w:rPr>
      <w:color w:val="76923C"/>
      <w:sz w:val="28"/>
      <w:lang w:val="en-US" w:eastAsia="ja-JP"/>
    </w:rPr>
  </w:style>
  <w:style w:type="paragraph" w:styleId="Inhopg3">
    <w:name w:val="toc 3"/>
    <w:basedOn w:val="Standaard"/>
    <w:next w:val="Standaard"/>
    <w:autoRedefine/>
    <w:uiPriority w:val="39"/>
    <w:unhideWhenUsed/>
    <w:qFormat/>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F4682D"/>
    <w:pPr>
      <w:numPr>
        <w:ilvl w:val="1"/>
      </w:numPr>
    </w:pPr>
    <w:rPr>
      <w:iCs w:val="0"/>
      <w:spacing w:val="15"/>
      <w:szCs w:val="24"/>
    </w:rPr>
  </w:style>
  <w:style w:type="character" w:customStyle="1" w:styleId="OndertitelChar">
    <w:name w:val="Ondertitel Char"/>
    <w:basedOn w:val="Standaardalinea-lettertype"/>
    <w:link w:val="Ondertitel"/>
    <w:uiPriority w:val="11"/>
    <w:rsid w:val="00F4682D"/>
    <w:rPr>
      <w:rFonts w:ascii="Trebuchet MS" w:eastAsiaTheme="majorEastAsia" w:hAnsi="Trebuchet MS" w:cstheme="majorBidi"/>
      <w:b/>
      <w:spacing w:val="15"/>
      <w:szCs w:val="24"/>
    </w:rPr>
  </w:style>
  <w:style w:type="paragraph" w:styleId="Lijstalinea">
    <w:name w:val="List Paragraph"/>
    <w:basedOn w:val="Standaard"/>
    <w:uiPriority w:val="34"/>
    <w:qFormat/>
    <w:rsid w:val="00F4682D"/>
    <w:pPr>
      <w:ind w:left="1702" w:hanging="851"/>
      <w:contextualSpacing/>
    </w:pPr>
  </w:style>
  <w:style w:type="paragraph" w:styleId="Bijschrift">
    <w:name w:val="caption"/>
    <w:basedOn w:val="Standaard"/>
    <w:next w:val="Standaard"/>
    <w:autoRedefine/>
    <w:uiPriority w:val="35"/>
    <w:unhideWhenUsed/>
    <w:qFormat/>
    <w:rsid w:val="00F4682D"/>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F4682D"/>
    <w:pPr>
      <w:numPr>
        <w:ilvl w:val="0"/>
        <w:numId w:val="8"/>
      </w:numPr>
    </w:pPr>
  </w:style>
  <w:style w:type="paragraph" w:customStyle="1" w:styleId="Bijlage-heading2">
    <w:name w:val="Bijlage - heading 2"/>
    <w:basedOn w:val="Kop3"/>
    <w:next w:val="Standaard"/>
    <w:link w:val="Bijlage-heading2Char"/>
    <w:rsid w:val="00504DA6"/>
    <w:pPr>
      <w:numPr>
        <w:ilvl w:val="1"/>
        <w:numId w:val="8"/>
      </w:numPr>
    </w:pPr>
  </w:style>
  <w:style w:type="paragraph" w:customStyle="1" w:styleId="bijlage-niveau2">
    <w:name w:val="bijlage - niveau 2"/>
    <w:basedOn w:val="Bijlage-heading2"/>
    <w:link w:val="bijlage-niveau2Char"/>
    <w:qFormat/>
    <w:rsid w:val="00F4682D"/>
    <w:pPr>
      <w:numPr>
        <w:ilvl w:val="0"/>
        <w:numId w:val="0"/>
      </w:numPr>
      <w:ind w:left="720" w:hanging="36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F4682D"/>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Standaard"/>
    <w:link w:val="BOFAS-standaardtekstChar"/>
    <w:qFormat/>
    <w:rsid w:val="00F4682D"/>
    <w:pPr>
      <w:spacing w:line="240" w:lineRule="auto"/>
      <w:jc w:val="left"/>
    </w:pPr>
    <w:rPr>
      <w:rFonts w:eastAsia="Times New Roman" w:cs="Times New Roman"/>
    </w:rPr>
  </w:style>
  <w:style w:type="character" w:customStyle="1" w:styleId="BOFAS-standaardtekstChar">
    <w:name w:val="BOFAS - standaardtekst Char"/>
    <w:link w:val="BOFAS-standaardtekst"/>
    <w:rsid w:val="00F4682D"/>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F4682D"/>
    <w:pPr>
      <w:numPr>
        <w:numId w:val="0"/>
      </w:numPr>
      <w:ind w:left="431" w:hanging="431"/>
    </w:pPr>
  </w:style>
  <w:style w:type="paragraph" w:customStyle="1" w:styleId="BIJLAGEN">
    <w:name w:val="BIJLAGEN"/>
    <w:basedOn w:val="Inhoudsopgave"/>
    <w:link w:val="BIJLAGENChar"/>
    <w:qFormat/>
    <w:rsid w:val="00F4682D"/>
  </w:style>
  <w:style w:type="character" w:customStyle="1" w:styleId="InhoudsopgaveChar">
    <w:name w:val="Inhoudsopgave Char"/>
    <w:basedOn w:val="Kop1Char"/>
    <w:link w:val="Inhoudsopgave"/>
    <w:rsid w:val="00F4682D"/>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F4682D"/>
    <w:rPr>
      <w:rFonts w:ascii="Trebuchet MS" w:eastAsiaTheme="majorEastAsia" w:hAnsi="Trebuchet MS" w:cstheme="majorBidi"/>
      <w:b/>
      <w:bCs/>
      <w:caps/>
      <w:color w:val="009ADE"/>
      <w:sz w:val="32"/>
      <w:szCs w:val="28"/>
    </w:rPr>
  </w:style>
  <w:style w:type="paragraph" w:styleId="Bloktekst">
    <w:name w:val="Block Text"/>
    <w:basedOn w:val="Standaard"/>
    <w:rsid w:val="00076EB7"/>
    <w:pPr>
      <w:suppressAutoHyphens/>
      <w:overflowPunct w:val="0"/>
      <w:autoSpaceDE w:val="0"/>
      <w:autoSpaceDN w:val="0"/>
      <w:adjustRightInd w:val="0"/>
      <w:spacing w:line="240" w:lineRule="auto"/>
      <w:ind w:left="1276" w:right="568" w:hanging="425"/>
      <w:textAlignment w:val="baseline"/>
    </w:pPr>
    <w:rPr>
      <w:rFonts w:ascii="Arial" w:eastAsia="Times New Roman" w:hAnsi="Arial" w:cs="Times New Roman"/>
      <w:spacing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andaarddocumenten\templates%20BOFAS%203\Txxxx_document%20standard%20proc&#233;dures%20BOFAS%203_v9%2018-12-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C48EC-47CB-470B-BFE9-5EB3A840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Txxxx_document standard procédures BOFAS 3_v9 18-12-2019</Template>
  <TotalTime>28</TotalTime>
  <Pages>6</Pages>
  <Words>1899</Words>
  <Characters>10828</Characters>
  <Application>Microsoft Office Word</Application>
  <DocSecurity>0</DocSecurity>
  <Lines>90</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Leen Vandenbussche</cp:lastModifiedBy>
  <cp:revision>7</cp:revision>
  <cp:lastPrinted>2019-04-11T12:43:00Z</cp:lastPrinted>
  <dcterms:created xsi:type="dcterms:W3CDTF">2019-12-18T11:05:00Z</dcterms:created>
  <dcterms:modified xsi:type="dcterms:W3CDTF">2020-01-06T08:24:00Z</dcterms:modified>
</cp:coreProperties>
</file>